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4B" w:rsidRPr="00C82BB2" w:rsidRDefault="00C5454B" w:rsidP="00C82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АДМИНИСТРАЦИЯ</w:t>
      </w:r>
    </w:p>
    <w:p w:rsidR="00C5454B" w:rsidRPr="00C82BB2" w:rsidRDefault="00C5454B" w:rsidP="00C82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КРАСНОЗНАМЕНСКОГО СЕЛЬСКОГО ПОСЕЛЕНИЯ ЛИСКИНСКОГО  МУНИЦИПАЛЬНОГО РАЙОНА ВОРОНЕЖСКОЙ ОБЛАСТИ</w:t>
      </w:r>
    </w:p>
    <w:p w:rsidR="00C5454B" w:rsidRPr="00C82BB2" w:rsidRDefault="00C5454B" w:rsidP="00C82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C5454B" w:rsidRPr="00C82BB2" w:rsidRDefault="00C5454B" w:rsidP="00C82B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54B" w:rsidRPr="00C82BB2" w:rsidRDefault="00C5454B" w:rsidP="00C82B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 xml:space="preserve">                                         ПОСТАНОВЛЕНИЕ </w:t>
      </w:r>
    </w:p>
    <w:p w:rsidR="00C5454B" w:rsidRDefault="00C5454B" w:rsidP="00C82BB2">
      <w:pPr>
        <w:spacing w:line="240" w:lineRule="auto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28.05.2014 г.                                        №   24</w:t>
      </w:r>
    </w:p>
    <w:p w:rsidR="00C5454B" w:rsidRPr="00C82BB2" w:rsidRDefault="00C5454B" w:rsidP="00C82BB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5454B" w:rsidRPr="007E4365" w:rsidTr="0036429D">
        <w:tc>
          <w:tcPr>
            <w:tcW w:w="5920" w:type="dxa"/>
          </w:tcPr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О</w:t>
            </w:r>
            <w:r w:rsidRPr="007E4365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б утверждении  местных нормативов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градостроительного проектирования 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«Планировка жилых, общественно-деловых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рекреационных зон населенных пунктов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 Краснознаменского сельского поселения»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</w:tcPr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C5454B" w:rsidRPr="00C82BB2" w:rsidRDefault="00C5454B" w:rsidP="00C82BB2">
      <w:pPr>
        <w:pStyle w:val="Heading1"/>
        <w:spacing w:before="69" w:after="2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2BB2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     В соответствии с Федеральным законом 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C82BB2">
          <w:rPr>
            <w:rFonts w:ascii="Times New Roman" w:hAnsi="Times New Roman" w:cs="Times New Roman"/>
            <w:b w:val="0"/>
            <w:sz w:val="24"/>
            <w:szCs w:val="24"/>
          </w:rPr>
          <w:t>2003 г</w:t>
        </w:r>
      </w:smartTag>
      <w:r w:rsidRPr="00C82BB2">
        <w:rPr>
          <w:rFonts w:ascii="Times New Roman" w:hAnsi="Times New Roman" w:cs="Times New Roman"/>
          <w:b w:val="0"/>
          <w:sz w:val="24"/>
          <w:szCs w:val="24"/>
        </w:rPr>
        <w:t xml:space="preserve">. N 131-ФЗ "Об общих принципах организации местного самоуправления в Российской Федерации" (с изменениями и дополнениями), ст. 8 Градостроительного кодекса Российской Федерации, </w:t>
      </w:r>
      <w:r w:rsidRPr="00C82BB2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в целях 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 xml:space="preserve">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 </w:t>
      </w:r>
      <w:r w:rsidRPr="00C82BB2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администрация Краснознаменского сельского поселения  Лискинского муниципального района Воронежской области  </w:t>
      </w:r>
    </w:p>
    <w:p w:rsidR="00C5454B" w:rsidRPr="00C82BB2" w:rsidRDefault="00C5454B" w:rsidP="00C82BB2">
      <w:pPr>
        <w:widowControl w:val="0"/>
        <w:shd w:val="clear" w:color="auto" w:fill="FFFFFF"/>
        <w:autoSpaceDE w:val="0"/>
        <w:spacing w:before="57" w:after="57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5454B" w:rsidRPr="00C82BB2" w:rsidRDefault="00C5454B" w:rsidP="00D60F78">
      <w:pPr>
        <w:widowControl w:val="0"/>
        <w:shd w:val="clear" w:color="auto" w:fill="FFFFFF"/>
        <w:autoSpaceDE w:val="0"/>
        <w:spacing w:before="57" w:after="57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>ПОСТАНОВЛЯЕТ:</w:t>
      </w:r>
    </w:p>
    <w:p w:rsidR="00C5454B" w:rsidRPr="00C82BB2" w:rsidRDefault="00C5454B" w:rsidP="00D60F78">
      <w:pPr>
        <w:widowControl w:val="0"/>
        <w:suppressAutoHyphens/>
        <w:autoSpaceDE w:val="0"/>
        <w:snapToGrid w:val="0"/>
        <w:spacing w:after="0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 xml:space="preserve">   1.Утвердить </w:t>
      </w:r>
      <w:r w:rsidRPr="00C82BB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местных нормативов  градостроительного проектирования  </w:t>
      </w:r>
    </w:p>
    <w:p w:rsidR="00C5454B" w:rsidRPr="00C82BB2" w:rsidRDefault="00C5454B" w:rsidP="00D60F78">
      <w:pPr>
        <w:widowControl w:val="0"/>
        <w:suppressAutoHyphens/>
        <w:autoSpaceDE w:val="0"/>
        <w:snapToGrid w:val="0"/>
        <w:spacing w:after="0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«Планировка жилых, общественно-деловых рекреационных зон населенных пунктов Краснознаменского сельского поселения</w:t>
      </w: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C5454B" w:rsidRPr="00C82BB2" w:rsidRDefault="00C5454B" w:rsidP="00D60F78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 xml:space="preserve">   2.   Постановление  вступает в силу с момента его опубликования.</w:t>
      </w:r>
    </w:p>
    <w:p w:rsidR="00C5454B" w:rsidRPr="00C82BB2" w:rsidRDefault="00C5454B" w:rsidP="00D60F78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 xml:space="preserve">   3.  Контроль за исполнением настоящего постановления оставляю за собой. </w:t>
      </w:r>
    </w:p>
    <w:p w:rsidR="00C5454B" w:rsidRDefault="00C5454B" w:rsidP="00C82BB2">
      <w:pPr>
        <w:widowControl w:val="0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2BB2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</w:p>
    <w:p w:rsidR="00C5454B" w:rsidRDefault="00C5454B" w:rsidP="00C82BB2">
      <w:pPr>
        <w:widowControl w:val="0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5454B" w:rsidRDefault="00C5454B" w:rsidP="00D60F78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5454B" w:rsidRPr="00C82BB2" w:rsidRDefault="00C5454B" w:rsidP="00C82BB2">
      <w:pPr>
        <w:widowControl w:val="0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5454B" w:rsidRPr="00C82BB2" w:rsidRDefault="00C5454B" w:rsidP="00C82BB2">
      <w:pPr>
        <w:widowControl w:val="0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5454B" w:rsidRPr="007E4365" w:rsidTr="0036429D">
        <w:tc>
          <w:tcPr>
            <w:tcW w:w="4503" w:type="dxa"/>
          </w:tcPr>
          <w:p w:rsidR="00C5454B" w:rsidRPr="007E4365" w:rsidRDefault="00C5454B" w:rsidP="00C82BB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Глава Краснознаменского </w:t>
            </w:r>
          </w:p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1877" w:type="dxa"/>
          </w:tcPr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C5454B" w:rsidRPr="007E4365" w:rsidRDefault="00C5454B" w:rsidP="00C82BB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7E43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Квашнина Л.А.</w:t>
            </w:r>
          </w:p>
        </w:tc>
      </w:tr>
    </w:tbl>
    <w:p w:rsidR="00C5454B" w:rsidRPr="00C82BB2" w:rsidRDefault="00C5454B" w:rsidP="00C82BB2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5454B" w:rsidRPr="00C82BB2" w:rsidRDefault="00C5454B" w:rsidP="00C82BB2">
      <w:pPr>
        <w:pStyle w:val="Heading1"/>
        <w:pageBreakBefore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97163206"/>
      <w:r w:rsidRPr="00C82BB2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«ПЛАНИРОВКА ЖИЛЫХ, ОБЩЕСТВЕННО-ДЕЛОВЫХ И РЕКРЕАЦИОННЫХ ЗОН НАСЕЛЕННЫХ ПУНКТОВ КРАСНОЗНАМЕНСКОГО СЕЛЬСКОГО ПОСЕЛЕНИЯ».</w:t>
      </w:r>
      <w:bookmarkEnd w:id="0"/>
    </w:p>
    <w:p w:rsidR="00C5454B" w:rsidRPr="00C82BB2" w:rsidRDefault="00C5454B" w:rsidP="00C82B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77842697"/>
      <w:bookmarkStart w:id="2" w:name="_Toc277842936"/>
      <w:bookmarkStart w:id="3" w:name="_Toc297163208"/>
      <w:r w:rsidRPr="00C82BB2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  <w:bookmarkEnd w:id="2"/>
      <w:bookmarkEnd w:id="3"/>
    </w:p>
    <w:p w:rsidR="00C5454B" w:rsidRPr="00C82BB2" w:rsidRDefault="00C5454B" w:rsidP="00C82BB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1.1.1. Настоящий документ «Местные нормативы градостроительного проектирования «Планировка жилых, общественно-деловых и рекреационных зон Краснознаменского сельского поселения» (далее – нормативы) разработаны в соответствии с законодательством Российской Федерации, Воронежской области и Краснознаменского сельского поселения и распространяются на планировку, застройку (далее – поселение) в пределах его границ.</w:t>
      </w:r>
    </w:p>
    <w:p w:rsidR="00C5454B" w:rsidRPr="00C82BB2" w:rsidRDefault="00C5454B" w:rsidP="00C82BB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1.1.2.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1.1.3.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C5454B" w:rsidRPr="00C82BB2" w:rsidRDefault="00C5454B" w:rsidP="00C82BB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277842698"/>
      <w:bookmarkStart w:id="5" w:name="_Toc277842937"/>
      <w:bookmarkStart w:id="6" w:name="_Toc297163209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4"/>
      <w:bookmarkEnd w:id="5"/>
      <w:bookmarkEnd w:id="6"/>
    </w:p>
    <w:p w:rsidR="00C5454B" w:rsidRPr="00C82BB2" w:rsidRDefault="00C5454B" w:rsidP="00C82BB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1.2.1.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Границы территории Краснознаменского сельского поселения установлены в соответствии с Законом Воронежской области от 27 октября 2006 года №87-ОЗ.</w:t>
      </w:r>
    </w:p>
    <w:p w:rsidR="00C5454B" w:rsidRPr="00C82BB2" w:rsidRDefault="00C5454B" w:rsidP="00C82BB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 один  населенный пункт: </w:t>
      </w:r>
    </w:p>
    <w:p w:rsidR="00C5454B" w:rsidRPr="00C82BB2" w:rsidRDefault="00C5454B" w:rsidP="00C82BB2">
      <w:pPr>
        <w:pStyle w:val="ConsNormal"/>
        <w:ind w:left="36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Сельский населенный пункт: с.Лискинское.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1.2.2.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населенных пунктов поселения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1.2.3. </w:t>
      </w:r>
      <w:r w:rsidRPr="00C82BB2">
        <w:rPr>
          <w:rFonts w:ascii="Times New Roman" w:hAnsi="Times New Roman" w:cs="Times New Roman"/>
          <w:sz w:val="24"/>
          <w:szCs w:val="24"/>
        </w:rPr>
        <w:t>Нормируемыми уровнями структурной организации территории застройки населенных пунктов поселения, являются</w:t>
      </w:r>
    </w:p>
    <w:p w:rsidR="00C5454B" w:rsidRPr="00C82BB2" w:rsidRDefault="00C5454B" w:rsidP="00D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группа жилой, общественной, производственной, смешанной застройки</w:t>
      </w:r>
      <w:r w:rsidRPr="00C82BB2">
        <w:rPr>
          <w:rFonts w:ascii="Times New Roman" w:hAnsi="Times New Roman"/>
          <w:sz w:val="24"/>
          <w:szCs w:val="24"/>
        </w:rPr>
        <w:t xml:space="preserve"> – территория, размером от 1 до </w:t>
      </w:r>
      <w:smartTag w:uri="urn:schemas-microsoft-com:office:smarttags" w:element="metricconverter">
        <w:smartTagPr>
          <w:attr w:name="ProductID" w:val="3 га"/>
        </w:smartTagPr>
        <w:r w:rsidRPr="00C82BB2">
          <w:rPr>
            <w:rFonts w:ascii="Times New Roman" w:hAnsi="Times New Roman"/>
            <w:sz w:val="24"/>
            <w:szCs w:val="24"/>
          </w:rPr>
          <w:t>3 га</w:t>
        </w:r>
      </w:smartTag>
      <w:r w:rsidRPr="00C82BB2">
        <w:rPr>
          <w:rFonts w:ascii="Times New Roman" w:hAnsi="Times New Roman"/>
          <w:sz w:val="24"/>
          <w:szCs w:val="24"/>
        </w:rPr>
        <w:t xml:space="preserve"> с населением, обеспеченным объектами повседневного обслуживания в пределах своей территории, а объектами периодического обслуживания – в пределах нормативной доступности. Группы жилой, смешанной жилой застройки формируются в виде части квартала. Границы группы устанавливаются по красным линиям улично-дорожной сети, в случае примыкания – по границам землепользования.</w:t>
      </w:r>
    </w:p>
    <w:p w:rsidR="00C5454B" w:rsidRPr="00C82BB2" w:rsidRDefault="00C5454B" w:rsidP="00D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 с Лискинское структурными элементами планировки являются  группы жилой, смешанной застройки и микрорайоны.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 w:rsidRPr="00C82BB2">
        <w:rPr>
          <w:rFonts w:ascii="Times New Roman" w:hAnsi="Times New Roman" w:cs="Times New Roman"/>
          <w:sz w:val="24"/>
          <w:szCs w:val="24"/>
        </w:rPr>
        <w:t>Интенсивность использования территории структурной единицы населенного пункта характеризуется плотностью застройки и процентом застроенности территории.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Плотность застройки и процент застроенности территорий необходимо принимать в соответствии с градостроительным регламентом, учитывая градостроительную ценность территории, состояние окружающей среды, другие особенности градостроительных условий. Показатели плотности застройки, процент застроенности территории и средней (расчетной) этажности приведены в таблице 1.</w:t>
      </w: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1. Показатели плотности застройки, процент застроенности территории и средней (расчетной) этажности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527"/>
        <w:gridCol w:w="567"/>
        <w:gridCol w:w="567"/>
        <w:gridCol w:w="567"/>
        <w:gridCol w:w="567"/>
        <w:gridCol w:w="709"/>
        <w:gridCol w:w="567"/>
        <w:gridCol w:w="567"/>
        <w:gridCol w:w="850"/>
        <w:gridCol w:w="992"/>
        <w:gridCol w:w="851"/>
      </w:tblGrid>
      <w:tr w:rsidR="00C5454B" w:rsidRPr="007E4365" w:rsidTr="00624BD2">
        <w:trPr>
          <w:cantSplit/>
          <w:trHeight w:val="564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x y;z-index:251658240" from="-1.65pt,8.7pt" to="94.35pt,92.7pt"/>
              </w:pic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застройки     </w:t>
            </w:r>
          </w:p>
          <w:p w:rsidR="00C5454B" w:rsidRPr="00C82BB2" w:rsidRDefault="00C5454B" w:rsidP="00C82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B" w:rsidRPr="00C82BB2" w:rsidRDefault="00C5454B" w:rsidP="00C82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C5454B" w:rsidRPr="00C82BB2" w:rsidRDefault="00C5454B" w:rsidP="00C82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застроенности территории    </w:t>
            </w:r>
          </w:p>
        </w:tc>
        <w:tc>
          <w:tcPr>
            <w:tcW w:w="3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4,1 - 10,0 тыс. кв. м/га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10,1 - 15,0 тыс. кв. м/га    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4,1-5,0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5,1-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6,0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6,1-7,0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7,1-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8,0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8,1-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9,1-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10,1-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11,1-12,0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12,1-</w:t>
            </w:r>
          </w:p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13,1-14,0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14,1-15,0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1. Плотность застройки - суммарная поэтажная площадь наземной части здания с жилыми, встроенно-пристроенными нежилыми помещениями, нежилыми помещениями,  в габаритах наружных стен, приходящаяся на единицу территории жилой, смешанной жилой застройки (тыс. кв. м/га).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2. Общая площадь жилой застройки (фонд) - суммарная величина общей площади квартир жилого здания, общей площади помещений нежилого назначения, в том числе -  встроенно-пристроенных помещений.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3. Для укрупненных расчетов переводной коэффициент от общей площади жилой застройки (фонда) к суммарной поэтажной площади застройки в габаритах наружных стен принимать равным 0,75; при более точных расчетах коэффициент принимать в зависимости от конкретного типа жилой застройки (0,6 - 0,86).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4. В ячейках таблицы указана средняя (расчетная) этажность зданий, соответствующая максимальным значениям плотности и застроенности..</w:t>
      </w:r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1.2.5. </w:t>
      </w:r>
      <w:r w:rsidRPr="00C82BB2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</w:t>
      </w:r>
    </w:p>
    <w:p w:rsidR="00C5454B" w:rsidRPr="00C82BB2" w:rsidRDefault="00C5454B" w:rsidP="00C82BB2">
      <w:pPr>
        <w:pStyle w:val="Heading1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7" w:name="_Toc277842700"/>
      <w:bookmarkStart w:id="8" w:name="_Toc277842938"/>
    </w:p>
    <w:p w:rsidR="00C5454B" w:rsidRPr="00C82BB2" w:rsidRDefault="00C5454B" w:rsidP="00C82BB2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9" w:name="_Toc297163210"/>
      <w:r w:rsidRPr="00C82BB2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7"/>
      <w:bookmarkEnd w:id="8"/>
      <w:bookmarkEnd w:id="9"/>
    </w:p>
    <w:p w:rsidR="00C5454B" w:rsidRPr="00C82BB2" w:rsidRDefault="00C5454B" w:rsidP="00C82BB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_Toc277842701"/>
      <w:bookmarkStart w:id="11" w:name="_Toc277842939"/>
      <w:bookmarkStart w:id="12" w:name="_Toc297163211"/>
      <w:r w:rsidRPr="00C82BB2">
        <w:rPr>
          <w:rStyle w:val="Heading2Char"/>
          <w:rFonts w:ascii="Times New Roman" w:hAnsi="Times New Roman" w:cs="Times New Roman"/>
          <w:i w:val="0"/>
          <w:iCs w:val="0"/>
          <w:sz w:val="24"/>
          <w:szCs w:val="24"/>
        </w:rPr>
        <w:t>2.1. Общие требования</w:t>
      </w:r>
      <w:r w:rsidRPr="00C82BB2">
        <w:rPr>
          <w:rFonts w:ascii="Times New Roman" w:hAnsi="Times New Roman" w:cs="Times New Roman"/>
          <w:sz w:val="24"/>
          <w:szCs w:val="24"/>
        </w:rPr>
        <w:t>:</w:t>
      </w:r>
      <w:bookmarkEnd w:id="10"/>
      <w:bookmarkEnd w:id="11"/>
      <w:bookmarkEnd w:id="12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зона застройки среднеэтажными жилыми домами (4 - 5 этажей);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2.1.3.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2.1.4.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и выше - 7 га.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2.1.5.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Расчетные показатели объемов и типов жилой застройки должны производиться с учетом сложившейся и прогнозируемой социально-демографической ситуации, доходов населения, историко-культурной ценности территории. При этом рекомендуется предусматривать разнообразные типы жилых домов, дифференцированных по уровню комфорта в соответствии с таблицей 2.</w:t>
      </w:r>
    </w:p>
    <w:p w:rsidR="00C5454B" w:rsidRPr="00C82BB2" w:rsidRDefault="00C5454B" w:rsidP="00C82BB2">
      <w:pPr>
        <w:pStyle w:val="ConsPlusNormal"/>
        <w:keepNext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2. Структура жилищного фонда,дифференцированного по уровню комфорта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727"/>
        <w:gridCol w:w="2268"/>
        <w:gridCol w:w="1985"/>
        <w:gridCol w:w="1843"/>
      </w:tblGrid>
      <w:tr w:rsidR="00C5454B" w:rsidRPr="007E4365" w:rsidTr="00624BD2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Тип жилого дома и квартиры по уровню комфорта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 площади жилого дома и квартиры в расчете на одного человека, кв. 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Формула заселения жилого дома и квартиры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в общем   </w:t>
            </w: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объеме жилищного строительства, %     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Высококомфортный    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>(элитный)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60 и более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k = n + 2;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 &gt; (n + 2)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Престижный (бизнес-класс)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k = n + 1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 = n + 2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Массовый (эконом-класс)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30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k = n    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 = n + 1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50             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Социальный (муниципальное жилище)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20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k = n - 1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 = n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25             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в соответствии со специальными нормами и правилами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k = n - 2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 = n - 1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             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1. Общее количество жилых комнат в квартире или доме (k) и количество проживающих человек (n).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2. Специализированные типы жилища - дома гостиничного типа, специализированные жилые комплексы.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3. Указанные нормативные показатели не являются основанием для установления нормы реального заселения.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2.1.6.</w:t>
      </w:r>
      <w:r w:rsidRPr="00C82BB2">
        <w:rPr>
          <w:rFonts w:ascii="Times New Roman" w:hAnsi="Times New Roman"/>
          <w:sz w:val="24"/>
          <w:szCs w:val="24"/>
        </w:rPr>
        <w:t xml:space="preserve"> Расчетные показатели минимальной обеспеченности общей площадью жилых помещений для индивидуальной застройки не нормируются. 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2.1.7.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Доля нежилого фонда в общем объеме фонда на участке жилой застройки не должна превышать 20 %.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2.1.8.</w:t>
      </w:r>
      <w:r w:rsidRPr="00C82BB2">
        <w:rPr>
          <w:rFonts w:ascii="Times New Roman" w:hAnsi="Times New Roman"/>
          <w:sz w:val="24"/>
          <w:szCs w:val="24"/>
        </w:rPr>
        <w:t xml:space="preserve"> При проектировании однотипных жилых домов на территории части микрорайона (квартала) в виде небольших структурных элементов (группы жилой застройки) показатели плотности застройки рекомендуется принимать не более, указанных в таблице 3.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Таблица 3. Показатели плотности застройки</w:t>
      </w:r>
    </w:p>
    <w:tbl>
      <w:tblPr>
        <w:tblW w:w="9607" w:type="dxa"/>
        <w:jc w:val="center"/>
        <w:tblLayout w:type="fixed"/>
        <w:tblLook w:val="00A0"/>
      </w:tblPr>
      <w:tblGrid>
        <w:gridCol w:w="4220"/>
        <w:gridCol w:w="1985"/>
        <w:gridCol w:w="1701"/>
        <w:gridCol w:w="1701"/>
      </w:tblGrid>
      <w:tr w:rsidR="00C5454B" w:rsidRPr="007E4365" w:rsidTr="00624BD2">
        <w:trPr>
          <w:trHeight w:val="258"/>
          <w:jc w:val="center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54B" w:rsidRPr="007E4365" w:rsidRDefault="00C5454B" w:rsidP="00C8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Типы застройки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Плотность застройки, м</w:t>
            </w:r>
            <w:r w:rsidRPr="007E436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/га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Коэффициент застройки</w:t>
            </w:r>
          </w:p>
        </w:tc>
      </w:tr>
      <w:tr w:rsidR="00C5454B" w:rsidRPr="007E4365" w:rsidTr="00624BD2">
        <w:trPr>
          <w:trHeight w:val="62"/>
          <w:jc w:val="center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«брутто»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bCs/>
                <w:sz w:val="24"/>
                <w:szCs w:val="24"/>
              </w:rPr>
              <w:t>«нетто»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Малоэтажная жилая застройка,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280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- многоквартирная, блокированная и секционная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5454B" w:rsidRPr="007E4365" w:rsidTr="00624BD2">
        <w:trPr>
          <w:trHeight w:val="487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- застройка индивидуальными домами с земельными участками площадью, м</w:t>
            </w:r>
            <w:r w:rsidRPr="007E436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43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             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54B" w:rsidRPr="00C82BB2" w:rsidRDefault="00C5454B" w:rsidP="00C82BB2">
      <w:pPr>
        <w:widowControl w:val="0"/>
        <w:spacing w:before="120" w:line="240" w:lineRule="auto"/>
        <w:ind w:firstLine="720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C82BB2">
        <w:rPr>
          <w:rFonts w:ascii="Times New Roman" w:hAnsi="Times New Roman"/>
          <w:i/>
          <w:spacing w:val="40"/>
          <w:sz w:val="24"/>
          <w:szCs w:val="24"/>
        </w:rPr>
        <w:t>Примечания: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 xml:space="preserve">1. Плотность застройки «нетто» определена для жилой территории в составе площади застройки жилых зданий и необходимых для их обслуживания площадок различного назначения, подъездов, автостоянок, озеленения и благоустройства. 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2. Плотность застройки «брутто» определена с учетом дополнительно необходимых по расчету учреждений и предприятий повседневного обслуживания (школ, дошкольных образовательных учреждений, объектов торговли и т. п.).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3. Коэффициенты плотности приведены для жилищной обеспеченности 20 м</w:t>
      </w:r>
      <w:r w:rsidRPr="00C82BB2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i/>
          <w:sz w:val="24"/>
          <w:szCs w:val="24"/>
        </w:rPr>
        <w:t xml:space="preserve">  на 1 человека.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right="17" w:firstLine="697"/>
        <w:jc w:val="both"/>
        <w:rPr>
          <w:rFonts w:ascii="Times New Roman" w:hAnsi="Times New Roman"/>
          <w:bCs/>
          <w:iCs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2.1.9.</w:t>
      </w:r>
      <w:r w:rsidRPr="00C82BB2">
        <w:rPr>
          <w:rFonts w:ascii="Times New Roman" w:hAnsi="Times New Roman"/>
          <w:bCs/>
          <w:iCs/>
          <w:sz w:val="24"/>
          <w:szCs w:val="24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2.1.11.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right="17" w:firstLine="697"/>
        <w:jc w:val="both"/>
        <w:rPr>
          <w:rFonts w:ascii="Times New Roman" w:hAnsi="Times New Roman"/>
          <w:bCs/>
          <w:iCs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2.1.10.</w:t>
      </w:r>
      <w:r w:rsidRPr="00C82BB2">
        <w:rPr>
          <w:rFonts w:ascii="Times New Roman" w:hAnsi="Times New Roman"/>
          <w:sz w:val="24"/>
          <w:szCs w:val="24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 w:rsidRPr="00C82BB2">
          <w:rPr>
            <w:rFonts w:ascii="Times New Roman" w:hAnsi="Times New Roman"/>
            <w:sz w:val="24"/>
            <w:szCs w:val="24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C82BB2">
        <w:rPr>
          <w:rFonts w:ascii="Times New Roman" w:hAnsi="Times New Roman"/>
          <w:sz w:val="24"/>
          <w:szCs w:val="24"/>
        </w:rPr>
        <w:t>, СНиП 21-01-97*, СНиП 31-01-2003, СНиП 31-05-2003*, СНиП 21-02-99*,  в том числе: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обособленные от жилой территории входы для посетителей;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обособленные подъезды и площадки для парковки автомобилей, обслуживающих встроенный объект;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самостоятельные шахты для вентиляции;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2.1.11.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C82BB2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2BB2">
        <w:rPr>
          <w:rFonts w:ascii="Times New Roman" w:hAnsi="Times New Roman" w:cs="Times New Roman"/>
          <w:sz w:val="24"/>
          <w:szCs w:val="24"/>
        </w:rPr>
        <w:t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дискотеки;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пункты приема посуды;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клинико-диагностические и бактериологические лаборатории;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стационары, в том числе диспансеры, дневные стационары и стационары частных клиник;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диспансеры всех типов;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травмпункты;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подстанции скорой и неотложной медицинской помощи;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отделения (кабинеты) магниторезонансной томографии;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рентгеновские кабинеты в смежных с жилыми помещениях и под ними, а также помещения с лечебной или диагностической аппаратурой и установками, являющимися источником ионизирующего излучения.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2.1.12.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Территория жилой застройки, формируемая как единый планировочно-обособленный объект применительно к застроенным и предназначенным для строительства и реконструкции объектам капитального строительства, должна содержать следующие элементы: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территории под жилыми зданиями;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проезды и пешеходные дороги, ведущие к жилым зданиям;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открытые площадки для временного хранения автомобилей;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придомовые зеленые насаждения, площадки для отдыха взрослого населения и площадки для детей;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хозяйственные площадки.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2.1.13.</w:t>
      </w:r>
      <w:r w:rsidRPr="00C82BB2">
        <w:rPr>
          <w:rFonts w:ascii="Times New Roman" w:hAnsi="Times New Roman"/>
          <w:sz w:val="24"/>
          <w:szCs w:val="24"/>
        </w:rPr>
        <w:t>При разработке документов по планировке территории на отдельный участок территории, занимающий часть территории жилого квартала, необходимо обеспечить совместимость размещаемых объектов с окружающей застройкой и требуемый уровень социального и культурно-бытового обслуживания населения для квартала в целом.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 xml:space="preserve">В кварталах и микрорайонах жилых зон не допускается устройство транзитных проездов на территории групп жилых домов, объединенных общим пространством (двором). 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2.1.14.</w:t>
      </w:r>
      <w:r w:rsidRPr="00C82BB2">
        <w:rPr>
          <w:rFonts w:ascii="Times New Roman" w:hAnsi="Times New Roman"/>
          <w:sz w:val="24"/>
          <w:szCs w:val="24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C82BB2">
        <w:rPr>
          <w:rFonts w:ascii="Times New Roman" w:hAnsi="Times New Roman"/>
          <w:color w:val="FF0000"/>
          <w:sz w:val="24"/>
          <w:szCs w:val="24"/>
        </w:rPr>
        <w:t>.</w:t>
      </w:r>
    </w:p>
    <w:p w:rsidR="00C5454B" w:rsidRPr="00C82BB2" w:rsidRDefault="00C5454B" w:rsidP="00C82BB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77842702"/>
      <w:bookmarkStart w:id="14" w:name="_Toc277842940"/>
      <w:bookmarkStart w:id="15" w:name="_Toc297163212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13"/>
      <w:bookmarkEnd w:id="14"/>
      <w:bookmarkEnd w:id="15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2.2.1.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2.2.2.</w:t>
      </w:r>
      <w:r w:rsidRPr="00C82BB2">
        <w:rPr>
          <w:rFonts w:ascii="Times New Roman" w:hAnsi="Times New Roman"/>
          <w:sz w:val="24"/>
          <w:szCs w:val="24"/>
        </w:rPr>
        <w:t xml:space="preserve"> Предельные размеры земельных участков, предоставляемых в собственность гражданам, устанавливаются органами местного самоуправления и составляют для: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индивидуального жилищного строительства с земельными участками для ведения личного подсобным личного подсобного хозяйства в сельских населенных пунктах – 0,04– 0,10 га;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2.2.3</w:t>
      </w:r>
      <w:r w:rsidRPr="00C82BB2">
        <w:t>. Интенсивность использования территории малоэтажной застройки приведены в таблице 1 настоящих нормативов.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2.2.4.</w:t>
      </w:r>
      <w:r w:rsidRPr="00C82BB2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1) от индивидуального, блокированного дома – 3 м;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C82BB2">
        <w:rPr>
          <w:rFonts w:ascii="Times New Roman" w:hAnsi="Times New Roman"/>
          <w:i/>
          <w:sz w:val="24"/>
          <w:szCs w:val="24"/>
        </w:rPr>
        <w:t xml:space="preserve">(заверяется нотариально) </w:t>
      </w:r>
      <w:r w:rsidRPr="00C82BB2">
        <w:rPr>
          <w:rFonts w:ascii="Times New Roman" w:hAnsi="Times New Roman"/>
          <w:sz w:val="24"/>
          <w:szCs w:val="24"/>
        </w:rPr>
        <w:t>составляет не менее: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1,0 м - для одноэтажного жилого дома;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1,5 м - для двухэтажного жилого дома;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3) от постройки для содержания скота и птицы – 4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4) от других построек (бани, гаража, летней кухни, сарая и др.) – 1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5) от дворовых туалетов, помойных ям, выгребов, септиков – 4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6) от стволов высокорослых деревьев – 4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7) от стволов среднерослых деревьев – 2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8) от кустарника – 1 м.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2.2.5</w:t>
      </w:r>
      <w:r w:rsidRPr="00C82BB2">
        <w:rPr>
          <w:rFonts w:ascii="Times New Roman" w:hAnsi="Times New Roman"/>
          <w:sz w:val="24"/>
          <w:szCs w:val="24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C5454B" w:rsidRPr="00C82BB2" w:rsidRDefault="00C5454B" w:rsidP="00D60F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2) до душа, бани (сауны) - 8 м;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2.2.6.</w:t>
      </w:r>
      <w:r w:rsidRPr="00C82BB2">
        <w:rPr>
          <w:rFonts w:ascii="Times New Roman" w:hAnsi="Times New Roman"/>
          <w:sz w:val="24"/>
          <w:szCs w:val="24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C82BB2">
        <w:rPr>
          <w:rFonts w:ascii="Times New Roman" w:hAnsi="Times New Roman"/>
          <w:spacing w:val="-2"/>
          <w:sz w:val="24"/>
          <w:szCs w:val="24"/>
        </w:rPr>
        <w:t>навес, свес крыши и др.) выступают не более чем на 50 см от плоскости стены. Если элементы выступают</w:t>
      </w:r>
      <w:r w:rsidRPr="00C82BB2">
        <w:rPr>
          <w:rFonts w:ascii="Times New Roman" w:hAnsi="Times New Roman"/>
          <w:sz w:val="24"/>
          <w:szCs w:val="24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 xml:space="preserve">2.2.7. </w:t>
      </w:r>
      <w:r w:rsidRPr="00C82BB2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 xml:space="preserve">На территориях малоэтажной индивидуальной застройки исторического центра с. Лискинское по улицам 40 лет Победы, Молодежная, Новоселов – содержание скота и птицы запрещено.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На территории малоэтажной многоквартирной жилой застройки хозяйственные постройки для скота и птицы могут выделяться за пределами жилых образований. 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градостроительным планом земельных участков.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2.2.9.</w:t>
      </w:r>
      <w:r w:rsidRPr="00C82BB2">
        <w:rPr>
          <w:rFonts w:ascii="Times New Roman" w:hAnsi="Times New Roman"/>
          <w:sz w:val="24"/>
          <w:szCs w:val="24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при размещении ульев на высоте не менее 2 м;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с отделением их зданием, строением, сооружением, густым кустарником высотой не менее 2 м.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2.2.10.</w:t>
      </w:r>
      <w:r w:rsidRPr="00C82BB2">
        <w:t xml:space="preserve"> Удельный вес озелененных территорий участков малоэтажной застройки составляет: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в границах территории жилого района малоэтажной застройки домами усадебного, коттеджного и блокированного типа - не менее 25%;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территории различного назначения в пределах застроенной территории - не менее 40%.</w:t>
      </w:r>
    </w:p>
    <w:p w:rsidR="00C5454B" w:rsidRPr="00C82BB2" w:rsidRDefault="00C5454B" w:rsidP="00C82BB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2.2.11.</w:t>
      </w:r>
      <w:r w:rsidRPr="00C82BB2">
        <w:rPr>
          <w:rFonts w:ascii="Times New Roman" w:hAnsi="Times New Roman"/>
          <w:sz w:val="24"/>
          <w:szCs w:val="24"/>
        </w:rPr>
        <w:t xml:space="preserve"> Любые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C5454B" w:rsidRPr="00C82BB2" w:rsidRDefault="00C5454B" w:rsidP="00C82B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C82BB2">
        <w:rPr>
          <w:rFonts w:ascii="Times New Roman" w:hAnsi="Times New Roman"/>
          <w:bCs/>
          <w:sz w:val="24"/>
          <w:szCs w:val="24"/>
        </w:rPr>
        <w:t>Планировка жилых, общественно-деловых и рекреационных зон населенных пунктов Воронежской области</w:t>
      </w:r>
      <w:r w:rsidRPr="00C82BB2">
        <w:rPr>
          <w:rFonts w:ascii="Times New Roman" w:hAnsi="Times New Roman"/>
          <w:sz w:val="24"/>
          <w:szCs w:val="24"/>
        </w:rPr>
        <w:t>».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2.2.12. </w:t>
      </w:r>
      <w:r w:rsidRPr="00C82BB2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C5454B" w:rsidRPr="00C82BB2" w:rsidRDefault="00C5454B" w:rsidP="00D60F78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2.2.13</w:t>
      </w:r>
      <w:r w:rsidRPr="00C82BB2">
        <w:rPr>
          <w:rFonts w:ascii="Times New Roman" w:hAnsi="Times New Roman"/>
          <w:sz w:val="24"/>
          <w:szCs w:val="24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C5454B" w:rsidRPr="00C82BB2" w:rsidRDefault="00C5454B" w:rsidP="00D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C5454B" w:rsidRPr="00C82BB2" w:rsidRDefault="00C5454B" w:rsidP="00D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2.2.14.</w:t>
      </w:r>
      <w:r w:rsidRPr="00C82BB2">
        <w:rPr>
          <w:rFonts w:ascii="Times New Roman" w:hAnsi="Times New Roman"/>
          <w:sz w:val="24"/>
          <w:szCs w:val="24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2.2.16.</w:t>
      </w:r>
      <w:r w:rsidRPr="00C82BB2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2.2.17.</w:t>
      </w:r>
      <w:r w:rsidRPr="00C82BB2">
        <w:rPr>
          <w:rFonts w:ascii="Times New Roman" w:hAnsi="Times New Roman" w:cs="Times New Roman"/>
          <w:sz w:val="24"/>
          <w:szCs w:val="24"/>
        </w:rPr>
        <w:t>. Общественный центр территории малоэтажной жилой застройки предназначен для размещения объектов культуры, торгово-бытового обслуживания, административных, физкультурно-оздоровительных и досуговых зданий и сооружений.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 с. Лискинское  перечень учреждений повседневного обслуживания территорий малоэтажной жилой застройки должен включать в себя следующие объекты: дошкольные учреждения, общеобразовательные школы, спортивно-досуговый комплекс, амбулаторно-поликлинические учреждения, аптечные киоски, объекты торгово-бытового назначения, отделение связи, отделение банка, пункт охраны порядка, а также площадки (для спорта, отдыха, выездных услуг, детских игр).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Размещение учреждений и предприятий обслуживания на территории малоэтажной застройки (нормативы обеспеченности, радиус пешеходной доступности, удельные показатели обеспеченности объектами обслуживания и др.) осуществляется в соответствии с требованиями раздела  «Учреждения и предприятия социальной инфраструктуры» настоящих нормативов и в соответствии с требованиями регионального норматива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деятельности, встроенных или пристроенных к жилым домам с размещением преимущественно в первом и цокольном этажах и устройством изолированных от жилых частей здания входов. При этом общая площадь встроенных учреждений не должна превышать 150 м</w:t>
      </w:r>
      <w:r w:rsidRPr="00C82BB2">
        <w:rPr>
          <w:rFonts w:ascii="Times New Roman" w:hAnsi="Times New Roman"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sz w:val="24"/>
          <w:szCs w:val="24"/>
        </w:rPr>
        <w:t xml:space="preserve">. 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На земельном участке жилого дома со встроенным или пристроенным учреждением или предприятием обслуживания должны быть выделены жилая и общественная зоны. Перед входом в здание необходимо предусматривать стоянку для транспортных средств.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 xml:space="preserve">Для инвалидов необходимо обеспечивать возможность подъезда, в том числе на инвалидных колясках, к общественным зданиям и предприятиям обслуживания с учетом требований региональных нормативов градостроительного проектирования </w:t>
      </w:r>
      <w:r w:rsidRPr="00C82BB2">
        <w:rPr>
          <w:rFonts w:ascii="Times New Roman" w:hAnsi="Times New Roman" w:cs="Times New Roman"/>
          <w:b/>
          <w:sz w:val="24"/>
          <w:szCs w:val="24"/>
        </w:rPr>
        <w:t>«</w:t>
      </w:r>
      <w:r w:rsidRPr="00C82BB2">
        <w:rPr>
          <w:rFonts w:ascii="Times New Roman" w:hAnsi="Times New Roman" w:cs="Times New Roman"/>
          <w:sz w:val="24"/>
          <w:szCs w:val="24"/>
        </w:rPr>
        <w:t>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C82B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82BB2">
        <w:rPr>
          <w:rFonts w:ascii="Times New Roman" w:hAnsi="Times New Roman" w:cs="Times New Roman"/>
          <w:sz w:val="24"/>
          <w:szCs w:val="24"/>
        </w:rPr>
        <w:t>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_Toc277842758"/>
      <w:bookmarkStart w:id="17" w:name="_Toc277842996"/>
      <w:r w:rsidRPr="00C82BB2">
        <w:rPr>
          <w:rFonts w:ascii="Times New Roman" w:hAnsi="Times New Roman"/>
          <w:sz w:val="24"/>
          <w:szCs w:val="24"/>
        </w:rPr>
        <w:t>ограждение при наличии естественных границ (река, бровка оврага и др.).</w:t>
      </w:r>
    </w:p>
    <w:p w:rsidR="00C5454B" w:rsidRPr="00C82BB2" w:rsidRDefault="00C5454B" w:rsidP="00C82BB2">
      <w:pPr>
        <w:pStyle w:val="Heading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8" w:name="_Toc277842705"/>
      <w:bookmarkStart w:id="19" w:name="_Toc277842943"/>
      <w:bookmarkStart w:id="20" w:name="_Toc297163217"/>
      <w:bookmarkEnd w:id="16"/>
      <w:bookmarkEnd w:id="17"/>
      <w:r w:rsidRPr="00C82BB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18"/>
      <w:bookmarkEnd w:id="19"/>
      <w:bookmarkEnd w:id="20"/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77842706"/>
      <w:bookmarkStart w:id="22" w:name="_Toc277842944"/>
      <w:bookmarkStart w:id="23" w:name="_Toc297163218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3.1. Общие требования</w:t>
      </w:r>
      <w:bookmarkEnd w:id="21"/>
      <w:bookmarkEnd w:id="22"/>
      <w:bookmarkEnd w:id="23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3.1.1</w:t>
      </w:r>
      <w:r w:rsidRPr="00C82BB2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 xml:space="preserve">В перечень объектов, разрешенных для размещения в общественно-деловой зоне, могут включаться: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малоэтажные жилые дома преимущественно с учреждениями обслуживания;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-индивидуальные жилые дома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закрытые и открытые автостоянки;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коммунальные и производственные предприятия, осуществляющие обслуживание населения, площадью не более 200 м</w:t>
      </w:r>
      <w:r w:rsidRPr="00C82BB2">
        <w:rPr>
          <w:vertAlign w:val="superscript"/>
        </w:rPr>
        <w:t>2</w:t>
      </w:r>
      <w:r w:rsidRPr="00C82BB2">
        <w:t>, встроенные или занимающие часть здания без производственной территории, экологически безопасные;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другие объекты в соответствии с требованиями градостроительного регламента правил землепользования и застройки.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3.1.3.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 xml:space="preserve">На территории общественно-деловых зон могут проектироваться учреждения и предприятия, включающие объекты, не требующие устройства санитарно-защитных зон размером более 50 м, железнодорожных путей, а также по площади, не превышающие 5 га.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3.1.4.</w:t>
      </w:r>
      <w:r w:rsidRPr="00C82BB2">
        <w:t xml:space="preserve"> При размещении зданий в общественных зонах р.п.ДАВЫДОВКА необходимо определять значение объекта по уровню обслуживания. Отнесение проектируемых зданий к определенному уровню обслуживания следует производить на основании следующих условий:</w:t>
      </w:r>
    </w:p>
    <w:p w:rsidR="00C5454B" w:rsidRPr="00C82BB2" w:rsidRDefault="00C5454B" w:rsidP="00D60F78">
      <w:pPr>
        <w:pStyle w:val="NormalWeb"/>
        <w:widowControl w:val="0"/>
        <w:spacing w:before="0" w:beforeAutospacing="0" w:after="0" w:afterAutospacing="0"/>
        <w:ind w:firstLine="720"/>
        <w:jc w:val="both"/>
      </w:pPr>
      <w:r w:rsidRPr="00C82BB2">
        <w:t>1) по основному местоположению: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административный центр поселения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центры жилых районов и микрорайонов с. Лискинское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2) по контингенту населения, формирующему спрос на услуги: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численность населения городского поселения;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численность населения, приезжающего из других поселений (с учетом статуса городского поселения как районного центра);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численность населения отдельных планировочных элементов (жилого района, микрорайона) с. Лискинское;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численность населения сельских населенных пунктов поселения;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20"/>
        <w:jc w:val="both"/>
      </w:pPr>
      <w:r w:rsidRPr="00C82BB2">
        <w:t>3) по частоте потребления предоставляемых услуг: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регулярное – повседневное;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1260"/>
        <w:jc w:val="both"/>
      </w:pPr>
      <w:r w:rsidRPr="00C82BB2">
        <w:t>- по мере необходимости – периодическое или эпизодическое.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3.1.5.</w:t>
      </w:r>
      <w:r w:rsidRPr="00C82BB2">
        <w:t>. Для общественно-деловых зон с. Лискинское, в пределах которых размещаются объекты культурного наследия, могут выделяться общественно-деловые исторические зоны.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Формирование общественно-деловой исторической зоны с. Лискинское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фрагментарного и руинированного градостроительного наследия и др. Рекомендуется сохранение исторических функции территорий, приобретенной им в процессе развития.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Вне утвержденных в установленном порядке границ зон охраны объектов культурного наследия (памятников истории и культуры), а также до утверждения в установленном порядке градостроительных регламентов в границах зон охраны объектов культурного наследия (памятников истории и культуры), тип и этажность застройки определяются проектом на основе историко-градостроительных исследований, выявляющих функциональные и архитектурно-пространственные особенности развития города, его историко-культурные традиции, и устанавливающих требования и рекомендации к реконструкции существующей застройки, в том числе регламенты по использованию надземного и подземного пространства.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3.1.6</w:t>
      </w:r>
      <w:r w:rsidRPr="00C82BB2">
        <w:rPr>
          <w:rFonts w:ascii="Times New Roman" w:hAnsi="Times New Roman" w:cs="Times New Roman"/>
          <w:sz w:val="24"/>
          <w:szCs w:val="24"/>
        </w:rPr>
        <w:t xml:space="preserve">.  Интенсивность использования территории общественно-деловой зоны характеризуется плотностью застройки и процентом застроенности территории.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Плотность застройки территории, занимаемой зданиями различного функционального назначения следует принимать с учетом сложившейся планировки и застройки, значения центра и в соответствии с рекомендуемыми нормативами, приведенными в таблице 10.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</w:p>
    <w:p w:rsidR="00C5454B" w:rsidRDefault="00C5454B" w:rsidP="00C82B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_Toc277842707"/>
      <w:bookmarkStart w:id="25" w:name="_Toc277842945"/>
      <w:r w:rsidRPr="00C82BB2">
        <w:rPr>
          <w:rFonts w:ascii="Times New Roman" w:hAnsi="Times New Roman"/>
          <w:sz w:val="24"/>
          <w:szCs w:val="24"/>
        </w:rPr>
        <w:t>Таблица 10. Нормативы плотности застройки территории, занимаемой зданиями различного функционального назначения (рекомендуемые)</w:t>
      </w:r>
      <w:bookmarkEnd w:id="24"/>
      <w:bookmarkEnd w:id="25"/>
    </w:p>
    <w:p w:rsidR="00C5454B" w:rsidRPr="00C82BB2" w:rsidRDefault="00C5454B" w:rsidP="00C82B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8" w:type="dxa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9"/>
        <w:gridCol w:w="2933"/>
        <w:gridCol w:w="8"/>
        <w:gridCol w:w="2612"/>
        <w:gridCol w:w="16"/>
      </w:tblGrid>
      <w:tr w:rsidR="00C5454B" w:rsidRPr="007E4365" w:rsidTr="00624BD2">
        <w:trPr>
          <w:trHeight w:val="284"/>
          <w:jc w:val="center"/>
        </w:trPr>
        <w:tc>
          <w:tcPr>
            <w:tcW w:w="2173" w:type="pct"/>
            <w:vMerge w:val="restart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Типы комплексов</w:t>
            </w:r>
          </w:p>
        </w:tc>
        <w:tc>
          <w:tcPr>
            <w:tcW w:w="2827" w:type="pct"/>
            <w:gridSpan w:val="4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Плотность застройки (тыс. м</w:t>
            </w:r>
            <w:r w:rsidRPr="007E436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 xml:space="preserve"> общ. пл./га), не более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173" w:type="pct"/>
            <w:vMerge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  <w:gridSpan w:val="4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Общественный центр города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173" w:type="pct"/>
            <w:vMerge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на свободных территориях</w:t>
            </w:r>
          </w:p>
        </w:tc>
        <w:tc>
          <w:tcPr>
            <w:tcW w:w="1334" w:type="pct"/>
            <w:gridSpan w:val="2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при реконструкции</w:t>
            </w:r>
          </w:p>
        </w:tc>
      </w:tr>
      <w:tr w:rsidR="00C5454B" w:rsidRPr="007E4365" w:rsidTr="00624BD2">
        <w:trPr>
          <w:gridAfter w:val="1"/>
          <w:wAfter w:w="8" w:type="pct"/>
          <w:trHeight w:val="227"/>
          <w:jc w:val="center"/>
        </w:trPr>
        <w:tc>
          <w:tcPr>
            <w:tcW w:w="2173" w:type="pct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Общегородской центр</w:t>
            </w:r>
          </w:p>
        </w:tc>
        <w:tc>
          <w:tcPr>
            <w:tcW w:w="1489" w:type="pct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0" w:type="pct"/>
            <w:gridSpan w:val="2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454B" w:rsidRPr="007E4365" w:rsidTr="00624BD2">
        <w:trPr>
          <w:gridAfter w:val="1"/>
          <w:wAfter w:w="8" w:type="pct"/>
          <w:trHeight w:val="227"/>
          <w:jc w:val="center"/>
        </w:trPr>
        <w:tc>
          <w:tcPr>
            <w:tcW w:w="2173" w:type="pct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Деловой комплекс</w:t>
            </w:r>
          </w:p>
        </w:tc>
        <w:tc>
          <w:tcPr>
            <w:tcW w:w="1489" w:type="pct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pct"/>
            <w:gridSpan w:val="2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454B" w:rsidRPr="007E4365" w:rsidTr="00624BD2">
        <w:trPr>
          <w:gridAfter w:val="1"/>
          <w:wAfter w:w="8" w:type="pct"/>
          <w:trHeight w:val="227"/>
          <w:jc w:val="center"/>
        </w:trPr>
        <w:tc>
          <w:tcPr>
            <w:tcW w:w="2173" w:type="pct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gridAfter w:val="1"/>
          <w:wAfter w:w="8" w:type="pct"/>
          <w:trHeight w:val="227"/>
          <w:jc w:val="center"/>
        </w:trPr>
        <w:tc>
          <w:tcPr>
            <w:tcW w:w="2173" w:type="pct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Торговые комплексы </w:t>
            </w:r>
          </w:p>
        </w:tc>
        <w:tc>
          <w:tcPr>
            <w:tcW w:w="1489" w:type="pct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pct"/>
            <w:gridSpan w:val="2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54B" w:rsidRPr="007E4365" w:rsidTr="00624BD2">
        <w:trPr>
          <w:gridAfter w:val="1"/>
          <w:wAfter w:w="8" w:type="pct"/>
          <w:trHeight w:val="227"/>
          <w:jc w:val="center"/>
        </w:trPr>
        <w:tc>
          <w:tcPr>
            <w:tcW w:w="2173" w:type="pct"/>
          </w:tcPr>
          <w:p w:rsidR="00C5454B" w:rsidRPr="007E4365" w:rsidRDefault="00C5454B" w:rsidP="00C82BB2">
            <w:pPr>
              <w:widowControl w:val="0"/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Культурные досуговые комплексы </w:t>
            </w:r>
          </w:p>
        </w:tc>
        <w:tc>
          <w:tcPr>
            <w:tcW w:w="1489" w:type="pct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pct"/>
            <w:gridSpan w:val="2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3.1.7</w:t>
      </w:r>
      <w:r w:rsidRPr="00C82BB2">
        <w:t>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3.1.8</w:t>
      </w:r>
      <w:r w:rsidRPr="00C82BB2">
        <w:t>. Расчет количества и вместимости учреждений и предприятий обслуживания, расположенных в общественно-деловой зоне, их размещение следует производить по социальным нормативам, исходя из функционального назначения объекта.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При определении количества, состава и вместимости зданий, расположенных в общественно-деловой зоне с. Лискинское, следует дополнительно учитывать приезжих из других поселений района с учетом значения общественного центра.</w:t>
      </w:r>
    </w:p>
    <w:p w:rsidR="00C5454B" w:rsidRPr="00C82BB2" w:rsidRDefault="00C5454B" w:rsidP="00C82BB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3.1.9</w:t>
      </w:r>
      <w:r w:rsidRPr="00C82BB2">
        <w:rPr>
          <w:rFonts w:ascii="Times New Roman" w:hAnsi="Times New Roman" w:cs="Times New Roman"/>
          <w:sz w:val="24"/>
          <w:szCs w:val="24"/>
        </w:rPr>
        <w:t xml:space="preserve">. Минимальную площадь озеленения территорий общественно-деловой зоны следует принимать в соответствии с требованиями настоящего раздела и регионального норматива градостроительного проектирования «Комплексное благоустройство и озеленение населенных пунктов Воронежской области». </w:t>
      </w:r>
    </w:p>
    <w:p w:rsidR="00C5454B" w:rsidRPr="00C82BB2" w:rsidRDefault="00C5454B" w:rsidP="00C82BB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3.1.10</w:t>
      </w:r>
      <w:r w:rsidRPr="00C82BB2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82BB2">
        <w:rPr>
          <w:rFonts w:ascii="Times New Roman" w:hAnsi="Times New Roman" w:cs="Times New Roman"/>
          <w:sz w:val="24"/>
          <w:szCs w:val="24"/>
        </w:rPr>
        <w:t>Требуемое расчетное количество машино-мест для парковки легковых автомобилей устанавливается в соответствии с таблицей 11.</w:t>
      </w:r>
    </w:p>
    <w:p w:rsidR="00C5454B" w:rsidRPr="00C82BB2" w:rsidRDefault="00C5454B" w:rsidP="00C82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11. Расчетное количество машино-мест для парковки легковых автомобилей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5"/>
        <w:gridCol w:w="2268"/>
        <w:gridCol w:w="2410"/>
      </w:tblGrid>
      <w:tr w:rsidR="00C5454B" w:rsidRPr="007E4365" w:rsidTr="00624BD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единица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Число машино - мест на расчетную единицу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54B" w:rsidRPr="007E4365" w:rsidTr="00624BD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работающих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работающих в двух смежных сменах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коек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3 - 5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посещений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Дома культуры, кинотеатры, концертные залы, музеи, выставки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единовременных посетителей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м торговой     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50 торговых мест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Рестораны и кафе общегородского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мест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Вокзалы всех видов транспорта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100 пассажиров     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>дальнего и местного сообщений, прибывающих в час "пик"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3.1.11. </w:t>
      </w:r>
      <w:r w:rsidRPr="00C82BB2">
        <w:rPr>
          <w:rFonts w:ascii="Times New Roman" w:hAnsi="Times New Roman" w:cs="Times New Roman"/>
          <w:sz w:val="24"/>
          <w:szCs w:val="24"/>
        </w:rPr>
        <w:t>Расстояние пешеходных подходов от стоянок для временного хранения легковых автомобилей следует принимать не более (м):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до пассажирских помещений вокзалов, входов в места крупных учреждений торговли и общественного питания - 150;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до прочих учреждений и предприятий обслуживания населения и административных зданий - 250;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до входов в парки, на выставки и стадионы - 400.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Автостоянки краткосрочной парковки (менее 15 мин.) должны размещаться не более чем в 50-метровой удаленности от объектов.</w:t>
      </w:r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6" w:name="_Toc277842708"/>
      <w:bookmarkStart w:id="27" w:name="_Toc277842946"/>
      <w:bookmarkStart w:id="28" w:name="_Toc297163219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26"/>
      <w:bookmarkEnd w:id="27"/>
      <w:bookmarkEnd w:id="28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всех видов и форм собственности следует размещать с учетом градостроительной ситуации, планировочной структуры населенных пунктов поселения, деления на жилые районы и микрорайоны (кварталы) в целях создания единой системы обслуживания.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определении количества, состава и вместимости учреждений и предприятий эпизодического обслуживания следует дополнительно учитывать приезжающее население из других поселений, а также туристов.</w:t>
      </w:r>
    </w:p>
    <w:p w:rsidR="00C5454B" w:rsidRDefault="00C5454B" w:rsidP="00D60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3.2.3.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Обязательный перечень и расчетные показатели минимальной обеспеченности социально значимыми объектами повседневного обслуживания приведены в таблице 12.</w:t>
      </w:r>
    </w:p>
    <w:p w:rsidR="00C5454B" w:rsidRPr="00C82BB2" w:rsidRDefault="00C5454B" w:rsidP="00D60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12.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2551"/>
        <w:gridCol w:w="2268"/>
      </w:tblGrid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5454B" w:rsidRPr="007E4365" w:rsidTr="00624BD2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C5454B" w:rsidRPr="00D60F78" w:rsidRDefault="00C5454B" w:rsidP="00D60F7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3.2.4.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Размещение объектов повседневного обслуживания обязательно при проектировании новых  групп жилой, смешанной жилой застройки, размещаемой вне территории  квартала в окружении территорий иного функционального назначения.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Если при размещении в составе микрорайона новой группы жилых домов, существующих в микрорайоне объектов обслуживания будет недостаточно для обслуживания населения с учетом вновь размещаемых жилых объектов, необходимо предусматривать мероприятия, направленные на ликвидацию дефицита объектов обслуживания.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3.2.5.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Радиусы обслуживания населения учреждениями и предприятиями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3.2.6.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Требования к размещению дошкольных образовательных, общеобразовательных учреждений, учреждений начального профессионального образования, средних и высших учебных заведений, лечебно-профилактических учреждений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3.2.7</w:t>
      </w:r>
      <w:r w:rsidRPr="00C82BB2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C82BB2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C82BB2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5454B" w:rsidRPr="00C82BB2" w:rsidRDefault="00C5454B" w:rsidP="00C82B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3.2.8</w:t>
      </w:r>
      <w:r w:rsidRPr="00C82BB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C5454B" w:rsidRPr="00C82BB2" w:rsidRDefault="00C5454B" w:rsidP="00C82B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2BB2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C5454B" w:rsidRPr="00C82BB2" w:rsidRDefault="00C5454B" w:rsidP="00C82B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C82BB2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C82BB2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C82BB2">
        <w:rPr>
          <w:rFonts w:ascii="Times New Roman" w:hAnsi="Times New Roman" w:cs="Times New Roman"/>
          <w:sz w:val="24"/>
          <w:szCs w:val="24"/>
        </w:rPr>
        <w:t>,</w:t>
      </w:r>
    </w:p>
    <w:p w:rsidR="00C5454B" w:rsidRPr="00C82BB2" w:rsidRDefault="00C5454B" w:rsidP="00C82BB2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 xml:space="preserve">где </w:t>
      </w:r>
      <w:r w:rsidRPr="00C82BB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C82BB2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C5454B" w:rsidRPr="00C82BB2" w:rsidRDefault="00C5454B" w:rsidP="00C82BB2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C5454B" w:rsidRPr="00C82BB2" w:rsidRDefault="00C5454B" w:rsidP="00C82BB2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C82BB2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C5454B" w:rsidRPr="00C82BB2" w:rsidRDefault="00C5454B" w:rsidP="00C82BB2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82BB2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C82BB2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3.2.9.</w:t>
      </w:r>
      <w:r w:rsidRPr="00C82BB2">
        <w:rPr>
          <w:rFonts w:ascii="Times New Roman" w:hAnsi="Times New Roman"/>
          <w:sz w:val="24"/>
          <w:szCs w:val="24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городского транспорта, автобусных и </w:t>
      </w:r>
      <w:r w:rsidRPr="00C82BB2">
        <w:rPr>
          <w:rFonts w:ascii="Times New Roman" w:hAnsi="Times New Roman"/>
          <w:i/>
          <w:sz w:val="24"/>
          <w:szCs w:val="24"/>
        </w:rPr>
        <w:t>железнодорожных вокзалов (станций).</w:t>
      </w:r>
      <w:r w:rsidRPr="00C82BB2">
        <w:rPr>
          <w:rFonts w:ascii="Times New Roman" w:hAnsi="Times New Roman"/>
          <w:sz w:val="24"/>
          <w:szCs w:val="24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Рекомендуется обеспечивать минимальную плотность застройки территории розничных рынков не менее 50 %.</w:t>
      </w:r>
    </w:p>
    <w:p w:rsidR="00C5454B" w:rsidRPr="00C82BB2" w:rsidRDefault="00C5454B" w:rsidP="00C82B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3.2.10</w:t>
      </w:r>
      <w:r w:rsidRPr="00C82BB2">
        <w:rPr>
          <w:rFonts w:ascii="Times New Roman" w:hAnsi="Times New Roman" w:cs="Times New Roman"/>
          <w:sz w:val="24"/>
          <w:szCs w:val="24"/>
        </w:rPr>
        <w:t>. На территории поселения следует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3.2.11</w:t>
      </w:r>
      <w:r w:rsidRPr="00C82BB2">
        <w:rPr>
          <w:rFonts w:ascii="Times New Roman" w:hAnsi="Times New Roman"/>
          <w:sz w:val="24"/>
          <w:szCs w:val="24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При ориентировочном расчете городской структуры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C82BB2">
        <w:rPr>
          <w:rFonts w:ascii="Times New Roman" w:hAnsi="Times New Roman"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sz w:val="24"/>
          <w:szCs w:val="24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C82BB2">
        <w:rPr>
          <w:rFonts w:ascii="Times New Roman" w:hAnsi="Times New Roman"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sz w:val="24"/>
          <w:szCs w:val="24"/>
        </w:rPr>
        <w:t xml:space="preserve"> на одно место в храме.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По всему периметру храмового комплекса следует предусматривать ограждение высотой 1,5-2,0 м. 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C5454B" w:rsidRPr="00C82BB2" w:rsidRDefault="00C5454B" w:rsidP="00C82BB2">
      <w:pPr>
        <w:pStyle w:val="Heading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9" w:name="_Toc277842709"/>
      <w:bookmarkStart w:id="30" w:name="_Toc277842947"/>
      <w:bookmarkStart w:id="31" w:name="_Toc297163220"/>
      <w:r w:rsidRPr="00C82BB2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29"/>
      <w:bookmarkEnd w:id="30"/>
      <w:bookmarkEnd w:id="31"/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3.2.12</w:t>
      </w:r>
      <w:r w:rsidRPr="00C82BB2">
        <w:rPr>
          <w:rFonts w:ascii="Times New Roman" w:hAnsi="Times New Roman" w:cs="Times New Roman"/>
          <w:sz w:val="24"/>
          <w:szCs w:val="24"/>
        </w:rPr>
        <w:t>. 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регионального норматива градостроительного проектирования «Зоны специального назначения и защиты территории населенных пунктов Воронежской области».</w:t>
      </w:r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2" w:name="_Toc277842710"/>
      <w:bookmarkStart w:id="33" w:name="_Toc277842948"/>
      <w:bookmarkStart w:id="34" w:name="_Toc297163221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32"/>
      <w:bookmarkEnd w:id="33"/>
      <w:bookmarkEnd w:id="34"/>
    </w:p>
    <w:p w:rsidR="00C5454B" w:rsidRPr="00C82BB2" w:rsidRDefault="00C5454B" w:rsidP="00C82BB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C82BB2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C82BB2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сохранение исторически сложившейся планировочной структуры и масштабности застройки, достижение стилевого единства элементов благоустройства с окружающей застройкой.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3.3.2.</w:t>
      </w:r>
      <w:r w:rsidRPr="00C82BB2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3.3.3.</w:t>
      </w:r>
      <w:r w:rsidRPr="00C82BB2">
        <w:rPr>
          <w:rFonts w:ascii="Times New Roman" w:hAnsi="Times New Roman" w:cs="Times New Roman"/>
          <w:sz w:val="24"/>
          <w:szCs w:val="24"/>
        </w:rPr>
        <w:t>. Пешеходные зоны могут формироваться на пешеходных улицах, пешеходных частях площадей населенных пунктов. Участки общественной застройки, открытые для активного посещения (объекты торговли, культуры, искусства, образования), могут быть организованы с выделением приобъектной территории либо без нее, в этом случае здания и сооружения непосредственно примыкают к пешеходным зонам и коммуникациям населенного пункта.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Участки озеленения на территории общественных пространств населенных пунктов следует проектировать в виде зеленых «островков»: цветников, газонов, одиночных, групповых, рядовых посадок, вертикального, многоярусного озеленения.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3.3.4.</w:t>
      </w:r>
      <w:r w:rsidRPr="00C82BB2">
        <w:rPr>
          <w:rFonts w:ascii="Times New Roman" w:hAnsi="Times New Roman" w:cs="Times New Roman"/>
          <w:sz w:val="24"/>
          <w:szCs w:val="24"/>
        </w:rPr>
        <w:t>. Объектом нормирования комплексного благоустройства на территориях транспортных коммуникаций общественных зон населенных пунктов является улично-дорожная сеть в границах красных линий (улицы и дороги, площади, пешеходные переходы различных типов). Проектирование комплексного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3.3.5.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b/>
          <w:sz w:val="24"/>
          <w:szCs w:val="24"/>
        </w:rPr>
        <w:t>Комплексное благоустройство площадей</w:t>
      </w:r>
      <w:r w:rsidRPr="00C82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По функциональному назначению площади подразделяются на: главные (у зданий органов государственной власти и местного самоуправления, общественных организаций), приобъектные (у памятников, кинотеатров, музеев, торговых центров, стадионов, парков, рынков и др.), общественно-транспортные (у вокзалов, автовокзалов (автостанций), на въездах в населенных пунктах), мемориальные (у памятных объектов или мест), площади транспортных развязок. При проектировании комплексного благоустройства площадей следует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 xml:space="preserve">Территории площади, как правило, включают: проезжую часть, пешеходную часть, участки и территории озеленения.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3.3.6.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на главных, приобъектных, мемориальных площадях - произведения декоративно-прикладного искусства, водные устройства (фонтаны);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Места возможного проезда и временной парковки автомобилей на пешеходной части площади следует выделять цветом или фактурой покрытия, мобильным озеленением (контейнеры, вазоны), переносными ограждениями.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озеленении площади рекомендуется использовать периметральное озеленение, насаждения в центре площади, а также совмещение этих приемов. В условиях исторической среды с. Лискинское или сложившейся застройки рекомендуется применение компактных и (или) мобильных приемов озеленения.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3.3.7.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b/>
          <w:sz w:val="24"/>
          <w:szCs w:val="24"/>
        </w:rPr>
        <w:t>Пешеходные коммуникации</w:t>
      </w:r>
      <w:r w:rsidRPr="00C82BB2">
        <w:rPr>
          <w:rFonts w:ascii="Times New Roman" w:hAnsi="Times New Roman" w:cs="Times New Roman"/>
          <w:sz w:val="24"/>
          <w:szCs w:val="24"/>
        </w:rPr>
        <w:t xml:space="preserve"> обеспечивают пешеходные связи и передвижения на территории населенного пункта. Основные пешеходные коммуникации обеспечивают связь общественных, жилых,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Покрытия и конструкции основных пешеходных коммуникаций должны предусматривать возможность их всесезонной эксплуатации, а при ширине 2,25 м и более - возможность эпизодического проезда специализированных транспортных средств. Рекомендуется предусматривать мощение плиткой.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3.3.8.</w:t>
      </w:r>
      <w:r w:rsidRPr="00C82BB2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3.3.9.</w:t>
      </w:r>
      <w:r w:rsidRPr="00C82BB2">
        <w:rPr>
          <w:rFonts w:ascii="Times New Roman" w:hAnsi="Times New Roman" w:cs="Times New Roman"/>
          <w:sz w:val="24"/>
          <w:szCs w:val="24"/>
        </w:rPr>
        <w:t>. 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необходимо делать гладким, удобным для очистки. Рекомендуется использование приемов цветового и светового оформления.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3.3.10.</w:t>
      </w:r>
      <w:r w:rsidRPr="00C82BB2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представлено различными видами мусоросборников-контейнеров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с. Лискинское  - не более 60 м, других территорий с. Лискинское 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расстановка не должна мешать передвижению пешеходов, проезду инвалидных и детских колясок.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3.3.11.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К уличному техническому оборудованию относятся: укрытия таксофонов, почтовые ящики,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установке таксофонов следует предусматривать их электроосвещение.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3.3.12.</w:t>
      </w:r>
      <w:r w:rsidRPr="00C82BB2">
        <w:rPr>
          <w:rFonts w:ascii="Times New Roman" w:hAnsi="Times New Roman" w:cs="Times New Roman"/>
          <w:sz w:val="24"/>
          <w:szCs w:val="24"/>
        </w:rPr>
        <w:t>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коммуникаций, следует проектировать, как правило, в одном уровне с покрытием прилегающей поверхности, в случае перепада отметок он не должен превышать 20 мм, а зазоры между краем люка и покрытием тротуара должны быть не более 15 мм;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вентиляционные шахты должны быть оборудованы решетками.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3.3.13. </w:t>
      </w:r>
      <w:r w:rsidRPr="00C82BB2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населенных пунктов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материалами, преимущественно, по индивидуальным проектным разработкам.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Ограждение территорий объектов культурного наследия следует выполнять в соответствии с регламентами, установленными для данных территорий.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3.3.14. </w:t>
      </w:r>
      <w:r w:rsidRPr="00C82BB2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населенных пунктов</w:t>
      </w:r>
      <w:r w:rsidRPr="00C82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sz w:val="24"/>
          <w:szCs w:val="24"/>
        </w:rPr>
        <w:t>улицы, площади, бульвары и пешеходные аллеи, общественные и рекреационные территории, номерные знаки жилых и общественных зданий, элементы городской информации и витрины в обязательном порядке должны освещаться в темное время суток по расписанию, утвержденному органами местного самоуправления.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3.3.15. </w:t>
      </w:r>
      <w:r w:rsidRPr="00C82BB2">
        <w:rPr>
          <w:rFonts w:ascii="Times New Roman" w:hAnsi="Times New Roman" w:cs="Times New Roman"/>
          <w:sz w:val="24"/>
          <w:szCs w:val="24"/>
        </w:rPr>
        <w:t>В историческом центре с. Лискинское следует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светоцветового зонирования территорий города и формирования системы светопространственных ансамблей.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следует использовать для освещения пешеходных зон территорий общественного назначения.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Архитектурное освещение должно применяться для формирования художественно выразительной визуальной среды в вечернем городе,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Оно осуществляется стационарными или временными установками освещения объектов, главным образом, наружного освещения их фасадных поверхностей по отдельным проектам.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3.3.16. </w:t>
      </w:r>
      <w:r w:rsidRPr="00C82BB2">
        <w:rPr>
          <w:rFonts w:ascii="Times New Roman" w:hAnsi="Times New Roman" w:cs="Times New Roman"/>
          <w:sz w:val="24"/>
          <w:szCs w:val="24"/>
        </w:rPr>
        <w:t>К временным установкам архитектурного освещения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целях архитектурного освещения могут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3.3.17. </w:t>
      </w:r>
      <w:r w:rsidRPr="00C82BB2">
        <w:rPr>
          <w:rFonts w:ascii="Times New Roman" w:hAnsi="Times New Roman" w:cs="Times New Roman"/>
          <w:sz w:val="24"/>
          <w:szCs w:val="24"/>
        </w:rPr>
        <w:t>Световая информация, в том числе световая реклама, должна помогать ориентации пешеходов и водителей автотранспорта в пространстве населенного пункта и участвовать в решении светокомпозиционных задач. Размещение, габариты,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ансамбль, не противоречить действующим правилам дорожного движения, не нарушать комфортность проживания населения.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Схема (программа) освещения может разрабатываться в составе схемы комплексного благоустройства территории либо в виде отдельного документа.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3.3.18. </w:t>
      </w:r>
      <w:r w:rsidRPr="00C82BB2">
        <w:rPr>
          <w:rFonts w:ascii="Times New Roman" w:hAnsi="Times New Roman" w:cs="Times New Roman"/>
          <w:sz w:val="24"/>
          <w:szCs w:val="24"/>
        </w:rPr>
        <w:t>Комплексное благоустройство участков специализированных зданий с закрытым или ограниченным режимом посещения (органы управления, учреждения здравоохранения и другие) следует проектировать в соответствии с заданием на проектирование и отраслевой спецификой.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_Toc277842711"/>
      <w:bookmarkStart w:id="36" w:name="_Toc277842949"/>
      <w:bookmarkStart w:id="37" w:name="_Toc297163222"/>
      <w:r w:rsidRPr="00C82BB2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35"/>
      <w:bookmarkEnd w:id="36"/>
      <w:bookmarkEnd w:id="37"/>
    </w:p>
    <w:p w:rsidR="00C5454B" w:rsidRPr="00C82BB2" w:rsidRDefault="00C5454B" w:rsidP="00C82BB2">
      <w:pPr>
        <w:pStyle w:val="Heading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277842712"/>
      <w:bookmarkStart w:id="39" w:name="_Toc277842950"/>
      <w:bookmarkStart w:id="40" w:name="_Toc297163223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38"/>
      <w:bookmarkEnd w:id="39"/>
      <w:bookmarkEnd w:id="40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4.1.1.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(городскими)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4.1.2.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Рекреационные зоны необходимо формировать во взаимосвязи с землями лесного и водного фонда, землями сельскохозяйственного использования и иными территориями поселения, создавая взаимоувязанный природный комплекс. При этом должны соблюдаться соразмерность застроенных территорий и открытых незастроенных пространств, обеспечиваться удобный доступ к рекреационным зонам.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4.1.3.</w:t>
      </w:r>
      <w:r w:rsidRPr="00C82BB2">
        <w:rPr>
          <w:rFonts w:ascii="Times New Roman" w:hAnsi="Times New Roman" w:cs="Times New Roman"/>
          <w:sz w:val="24"/>
          <w:szCs w:val="24"/>
        </w:rPr>
        <w:t>Планировочная структура объектов рекреации должна соответствовать градостроительным, функциональным и природным особенностям территории. При проектировании комплексного благоустройства следует обеспечивать приоритет природоохранных факторов: для крупных объектов рекреации - ненарушение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города.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4.1.4.</w:t>
      </w:r>
      <w:r w:rsidRPr="00C82BB2">
        <w:rPr>
          <w:rFonts w:ascii="Times New Roman" w:hAnsi="Times New Roman"/>
          <w:sz w:val="24"/>
          <w:szCs w:val="24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4.1.5.</w:t>
      </w:r>
      <w:r w:rsidRPr="00C82BB2">
        <w:rPr>
          <w:rFonts w:ascii="Times New Roman" w:hAnsi="Times New Roman" w:cs="Times New Roman"/>
          <w:sz w:val="24"/>
          <w:szCs w:val="24"/>
        </w:rPr>
        <w:t>. 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277842713"/>
      <w:bookmarkStart w:id="42" w:name="_Toc277842951"/>
      <w:bookmarkStart w:id="43" w:name="_Toc297163224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C82BB2">
        <w:rPr>
          <w:rFonts w:ascii="Times New Roman" w:hAnsi="Times New Roman" w:cs="Times New Roman"/>
          <w:sz w:val="24"/>
          <w:szCs w:val="24"/>
        </w:rPr>
        <w:t>:</w:t>
      </w:r>
      <w:bookmarkEnd w:id="41"/>
      <w:bookmarkEnd w:id="42"/>
      <w:bookmarkEnd w:id="43"/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4.2.3</w:t>
      </w:r>
      <w:r w:rsidRPr="00C82BB2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городского парка - 10 га;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садов жилых зон - 3 га;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C82BB2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4.2.5.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Автостоянки для посетителей парков следует размещать за пределами его территории, но не далее 200 м от входа и проектировать из расчета не менее 10 машино-мест на 100 единовременных посетителей. Размеры земельных участков автостоянок на одно место следует принимать: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4.2.6.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Кроме парков городского значения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4.2.7.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b/>
          <w:sz w:val="24"/>
          <w:szCs w:val="24"/>
        </w:rPr>
        <w:t>Городской сад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городского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4.2.8.</w:t>
      </w:r>
      <w:r w:rsidRPr="00C82BB2">
        <w:rPr>
          <w:rFonts w:ascii="Times New Roman" w:hAnsi="Times New Roman" w:cs="Times New Roman"/>
          <w:sz w:val="24"/>
          <w:szCs w:val="24"/>
        </w:rPr>
        <w:t>. Соотношение элементов территории городского сада следует принимать (% от общей площади сада):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4.2.9.</w:t>
      </w:r>
      <w:r w:rsidRPr="00C82BB2">
        <w:rPr>
          <w:rFonts w:ascii="Times New Roman" w:hAnsi="Times New Roman" w:cs="Times New Roman"/>
          <w:sz w:val="24"/>
          <w:szCs w:val="24"/>
        </w:rPr>
        <w:t>. При проектировании микрорайона озелененные территории общего пользования рекомендуется формировать в виде сада микрорайона, обеспечивая его доступность для жителей микрорайона на расстоянии не более 400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4.2.10. Бульвар и пешеходные аллеи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Высота зданий не должна превышать 6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4.2.11.</w:t>
      </w:r>
      <w:r w:rsidRPr="00C82BB2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13 в зависимости от его ширины.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13.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2694"/>
        <w:gridCol w:w="1984"/>
        <w:gridCol w:w="1701"/>
      </w:tblGrid>
      <w:tr w:rsidR="00C5454B" w:rsidRPr="007E4365" w:rsidTr="00624BD2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65 - 70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4.2.12. Сквер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14.</w:t>
      </w: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Таблица 14.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720"/>
        <w:gridCol w:w="2551"/>
        <w:gridCol w:w="2126"/>
      </w:tblGrid>
      <w:tr w:rsidR="00C5454B" w:rsidRPr="007E4365" w:rsidTr="00624BD2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C8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C5454B" w:rsidRPr="007E4365" w:rsidTr="00624BD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Размещаемые на улицах города ___________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60 – 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40 - 25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Размещаемые в жилых районах с. Лискинское, на жилых улицах, между домами, перед отдельными зданиями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  <w:tr w:rsidR="00C5454B" w:rsidRPr="007E4365" w:rsidTr="00624BD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4.2.13.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При озеленении территории общественных пространств и объектов рекреации рекомендуется предусматривать цветочное оформление (таблица 15), устройство газонов, автоматических систем полива и орошения. На участках с большой площадью замощенных поверхностей, высокой плотностью застройки и подземных коммуникаций рекомендуется применение мобильных и компактных приемов озеленения.</w:t>
      </w: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4" w:name="_Toc277842714"/>
      <w:bookmarkStart w:id="45" w:name="_Toc277842952"/>
      <w:bookmarkStart w:id="46" w:name="_Toc297163225"/>
      <w:r w:rsidRPr="00C82BB2">
        <w:rPr>
          <w:rFonts w:ascii="Times New Roman" w:hAnsi="Times New Roman" w:cs="Times New Roman"/>
          <w:sz w:val="24"/>
          <w:szCs w:val="24"/>
        </w:rPr>
        <w:t>Таблица 15. Доля цветников на озелененных территориях объектов рекреации (в %)</w:t>
      </w:r>
      <w:bookmarkEnd w:id="44"/>
      <w:bookmarkEnd w:id="45"/>
      <w:bookmarkEnd w:id="4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103"/>
      </w:tblGrid>
      <w:tr w:rsidR="00C5454B" w:rsidRPr="007E4365" w:rsidTr="00624BD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Виды объектов рекреации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цветников &lt;*&gt; от площади озеленения объектов             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Парки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2,0 - 2,5            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Сады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2,5 - 3,0            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Скверы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4,0 - 5,0             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Бульвары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3,0 - 4,0                     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&lt;*&gt; В том числе не менее 50% - из многолетников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4.2.14.</w:t>
      </w:r>
      <w:r w:rsidRPr="00C82BB2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4.2.15. </w:t>
      </w:r>
      <w:r w:rsidRPr="00C82BB2">
        <w:rPr>
          <w:rFonts w:ascii="Times New Roman" w:hAnsi="Times New Roman" w:cs="Times New Roman"/>
          <w:sz w:val="24"/>
          <w:szCs w:val="24"/>
        </w:rPr>
        <w:t>При проектировании и осуществлении озеленения необходимо учитывать декоративные свойства и особенности различных пород деревьев и кустарников, форму кроны, цвет листвы, его изменение по сезонам года, время и характер цветения, пригодность данного материала для определенного вида посадок. Следует применять различные кустарники в качестве живых изгородей, а также вьющиеся растения (виноград, хмель, плющ) для пристенного вертикального озеленения.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4.2.16. </w:t>
      </w:r>
      <w:r w:rsidRPr="00C82BB2">
        <w:rPr>
          <w:rFonts w:ascii="Times New Roman" w:hAnsi="Times New Roman" w:cs="Times New Roman"/>
          <w:sz w:val="24"/>
          <w:szCs w:val="24"/>
        </w:rPr>
        <w:t>Основными типами насаждений являются: массивы, группы, солитеры, живые изгороди, кулисы, боскеты, шпалеры, газоны, цветники, аллейные, рядовые, букетные посадки и др.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На территории с. Лискинское  могут использоваться различные приемы или формы озеленения: стационарные (посадка растений в грунт), мобильные (посадка растений в специальные передвижные емкости - контейнеры, вазоны и т.д.), компактные (вертикальное, многоуровневое озеленение и т.п.) и др.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 xml:space="preserve">4.2.17. </w:t>
      </w:r>
      <w:r w:rsidRPr="00C82BB2">
        <w:rPr>
          <w:rFonts w:ascii="Times New Roman" w:hAnsi="Times New Roman"/>
          <w:sz w:val="24"/>
          <w:szCs w:val="24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Для пешеходных коммуникаций</w:t>
      </w:r>
      <w:r w:rsidRPr="00C82BB2">
        <w:rPr>
          <w:rFonts w:ascii="Times New Roman" w:hAnsi="Times New Roman"/>
          <w:b/>
          <w:sz w:val="24"/>
          <w:szCs w:val="24"/>
        </w:rPr>
        <w:t xml:space="preserve"> </w:t>
      </w:r>
      <w:r w:rsidRPr="00C82BB2">
        <w:rPr>
          <w:rFonts w:ascii="Times New Roman" w:hAnsi="Times New Roman"/>
          <w:sz w:val="24"/>
          <w:szCs w:val="24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4.2.18.</w:t>
      </w:r>
      <w:r w:rsidRPr="00C82BB2">
        <w:rPr>
          <w:rFonts w:ascii="Times New Roman" w:hAnsi="Times New Roman"/>
          <w:sz w:val="24"/>
          <w:szCs w:val="24"/>
        </w:rPr>
        <w:t>.</w:t>
      </w:r>
      <w:r w:rsidRPr="00C82BB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2BB2">
        <w:rPr>
          <w:rFonts w:ascii="Times New Roman" w:hAnsi="Times New Roman"/>
          <w:sz w:val="24"/>
          <w:szCs w:val="24"/>
        </w:rPr>
        <w:t xml:space="preserve">В рекреационную зону входят </w:t>
      </w:r>
      <w:r w:rsidRPr="00C82BB2">
        <w:rPr>
          <w:rFonts w:ascii="Times New Roman" w:hAnsi="Times New Roman"/>
          <w:b/>
          <w:sz w:val="24"/>
          <w:szCs w:val="24"/>
        </w:rPr>
        <w:t xml:space="preserve">зеленые устройства закрытого грунта </w:t>
      </w:r>
      <w:r w:rsidRPr="00C82BB2">
        <w:rPr>
          <w:rFonts w:ascii="Times New Roman" w:hAnsi="Times New Roman"/>
          <w:sz w:val="24"/>
          <w:szCs w:val="24"/>
        </w:rPr>
        <w:t>декоративного (зимние сады) и утилитарного (теплицы, оранжереи, подсобные хозяйства) назначения в виде самостоятельных или встроенных объектов (в утепленных помещениях культурно-бытовых, административных и производственных зданий).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Размеры зеленых устройств декоративного назначения (зимних садов) следует принимать из расчёта 0,1-0,3 м</w:t>
      </w:r>
      <w:r w:rsidRPr="00C82BB2">
        <w:rPr>
          <w:rFonts w:ascii="Times New Roman" w:hAnsi="Times New Roman"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sz w:val="24"/>
          <w:szCs w:val="24"/>
        </w:rPr>
        <w:t xml:space="preserve"> на одного посетителя.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Размеры зеленых утилитарных устройств закрытого грунта (теплиц, оранжерей, подсобных овощеводческих хозяйств) определяются в соответствии с возможностями и потребностью в производимой продукции на основании задания на проектирование.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Следует предусматривать питомники древесных и кустарниковых растений и цветочно-оранжерейные хозяйства с учетом обеспечения посадочным материалом нескольких населенных пунктов. Площадь питомников следует принимать из расчета 3 - 5 кв. м/чел в зависимости от уровня обеспеченности населения озелененными территориями общего пользования, размеров санитарно-защитных зон, развития садоводческих товариществ и других местных условий.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Общую площадь цветочно-оранжерейных хозяйств следует принимать из расчета 0,4 кв. м/чел.</w:t>
      </w:r>
    </w:p>
    <w:p w:rsidR="00C5454B" w:rsidRPr="00C82BB2" w:rsidRDefault="00C5454B" w:rsidP="00C82BB2">
      <w:pPr>
        <w:pStyle w:val="BodyTextIndent2"/>
        <w:widowControl w:val="0"/>
        <w:spacing w:line="240" w:lineRule="auto"/>
        <w:rPr>
          <w:sz w:val="24"/>
          <w:szCs w:val="24"/>
        </w:rPr>
      </w:pPr>
      <w:r w:rsidRPr="00C82BB2">
        <w:rPr>
          <w:b/>
          <w:sz w:val="24"/>
          <w:szCs w:val="24"/>
        </w:rPr>
        <w:t>4.2.19</w:t>
      </w:r>
      <w:r w:rsidRPr="00C82BB2">
        <w:rPr>
          <w:b/>
          <w:color w:val="0000FF"/>
          <w:sz w:val="24"/>
          <w:szCs w:val="24"/>
        </w:rPr>
        <w:t>.</w:t>
      </w:r>
      <w:r w:rsidRPr="00C82BB2">
        <w:rPr>
          <w:color w:val="0000FF"/>
          <w:sz w:val="24"/>
          <w:szCs w:val="24"/>
        </w:rPr>
        <w:t xml:space="preserve"> </w:t>
      </w:r>
      <w:r w:rsidRPr="00C82BB2">
        <w:rPr>
          <w:sz w:val="24"/>
          <w:szCs w:val="24"/>
        </w:rPr>
        <w:t>В рекреационную зону могут включаться также озелененные территории ограниченного пользования и специального назначения, которые выполняют средозащитные и рекреационные функции в населенных пунктах поселения, в том числе:</w:t>
      </w:r>
    </w:p>
    <w:p w:rsidR="00C5454B" w:rsidRPr="00C82BB2" w:rsidRDefault="00C5454B" w:rsidP="00C82BB2">
      <w:pPr>
        <w:pStyle w:val="BodyTextIndent2"/>
        <w:widowControl w:val="0"/>
        <w:spacing w:line="240" w:lineRule="auto"/>
        <w:rPr>
          <w:sz w:val="24"/>
          <w:szCs w:val="24"/>
        </w:rPr>
      </w:pPr>
      <w:r w:rsidRPr="00C82BB2">
        <w:rPr>
          <w:sz w:val="24"/>
          <w:szCs w:val="24"/>
        </w:rPr>
        <w:t>- озелененные территории ограниченного пользования – территории с зелеными насаждениями ограниченного посещения, предназначенные для создания благоприятной окружающей среды на территории предприятий, учреждений и организаций;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- озелененные территории специального назначения – территории с зелеными насаждениями, имеющие специальное целевое назначение (санитарно-защитные и др.), или озеленение на территориях специальных объектов с закрытым для населения доступом. 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4.2.20</w:t>
      </w:r>
      <w:r w:rsidRPr="00C82BB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82B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16).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keepNext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7" w:name="_Toc277842715"/>
      <w:bookmarkStart w:id="48" w:name="_Toc277842953"/>
      <w:bookmarkStart w:id="49" w:name="_Toc297163226"/>
      <w:r w:rsidRPr="00C82BB2">
        <w:rPr>
          <w:rFonts w:ascii="Times New Roman" w:hAnsi="Times New Roman" w:cs="Times New Roman"/>
          <w:sz w:val="24"/>
          <w:szCs w:val="24"/>
        </w:rPr>
        <w:t>Таблица 16.  Обеспеченность озелененными территориями участков общественной и производственной застройки (в %)</w:t>
      </w:r>
      <w:bookmarkEnd w:id="47"/>
      <w:bookmarkEnd w:id="48"/>
      <w:bookmarkEnd w:id="49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C5454B" w:rsidRPr="007E4365" w:rsidTr="00624BD2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i/>
                <w:sz w:val="24"/>
                <w:szCs w:val="24"/>
              </w:rPr>
              <w:t>Участки территории вузов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30 &lt;*&gt; - 40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C5454B" w:rsidRPr="007E4365" w:rsidTr="00624BD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4B" w:rsidRPr="00C82BB2" w:rsidRDefault="00C5454B" w:rsidP="00C82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сложившейся, исторической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4.2.21.</w:t>
      </w:r>
      <w:r w:rsidRPr="00C82BB2">
        <w:rPr>
          <w:rFonts w:ascii="Times New Roman" w:hAnsi="Times New Roman"/>
          <w:sz w:val="24"/>
          <w:szCs w:val="24"/>
        </w:rPr>
        <w:t xml:space="preserve">. Для </w:t>
      </w:r>
      <w:r w:rsidRPr="00C82BB2">
        <w:rPr>
          <w:rFonts w:ascii="Times New Roman" w:hAnsi="Times New Roman"/>
          <w:b/>
          <w:sz w:val="24"/>
          <w:szCs w:val="24"/>
        </w:rPr>
        <w:t>улично-дорожной сети</w:t>
      </w:r>
      <w:r w:rsidRPr="00C82BB2">
        <w:rPr>
          <w:rFonts w:ascii="Times New Roman" w:hAnsi="Times New Roman"/>
          <w:sz w:val="24"/>
          <w:szCs w:val="24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17. При этом следует учитывать направление преобладающих ветров и возможность складирования снега на разделительных полосах.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Таблица 17.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C5454B" w:rsidRPr="007E4365" w:rsidTr="00624BD2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Расстояние от оси ствола дерева, кустарника, м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46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Магистральные улицы общегородского значения</w:t>
            </w:r>
          </w:p>
        </w:tc>
        <w:tc>
          <w:tcPr>
            <w:tcW w:w="5100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46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5100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46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446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</w:tbl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4.2.22.</w:t>
      </w:r>
      <w:r w:rsidRPr="00C82BB2">
        <w:rPr>
          <w:rFonts w:ascii="Times New Roman" w:hAnsi="Times New Roman"/>
          <w:sz w:val="24"/>
          <w:szCs w:val="24"/>
        </w:rPr>
        <w:t xml:space="preserve">. Для </w:t>
      </w:r>
      <w:r w:rsidRPr="00C82BB2">
        <w:rPr>
          <w:rFonts w:ascii="Times New Roman" w:hAnsi="Times New Roman"/>
          <w:b/>
          <w:sz w:val="24"/>
          <w:szCs w:val="24"/>
        </w:rPr>
        <w:t>технических зон инженерных коммуникаций</w:t>
      </w:r>
      <w:r w:rsidRPr="00C82BB2">
        <w:rPr>
          <w:rFonts w:ascii="Times New Roman" w:hAnsi="Times New Roman"/>
          <w:sz w:val="24"/>
          <w:szCs w:val="24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18 настоящих нормативов.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18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bookmarkStart w:id="50" w:name="_Toc277842716"/>
      <w:bookmarkStart w:id="51" w:name="_Toc277842954"/>
      <w:bookmarkStart w:id="52" w:name="_Toc297163227"/>
      <w:r w:rsidRPr="00C82BB2">
        <w:rPr>
          <w:rFonts w:ascii="Times New Roman" w:hAnsi="Times New Roman"/>
          <w:sz w:val="24"/>
          <w:szCs w:val="24"/>
        </w:rPr>
        <w:t>Таблица 18. Расстояния от зданий и сооружений до зеленых насаждений</w:t>
      </w:r>
      <w:bookmarkEnd w:id="50"/>
      <w:bookmarkEnd w:id="51"/>
      <w:bookmarkEnd w:id="52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6"/>
        <w:gridCol w:w="2409"/>
        <w:gridCol w:w="2167"/>
      </w:tblGrid>
      <w:tr w:rsidR="00C5454B" w:rsidRPr="007E4365" w:rsidTr="00624BD2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 xml:space="preserve">Расстояния, м, от здания,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сооружения, объекта до оси</w:t>
            </w:r>
          </w:p>
        </w:tc>
      </w:tr>
      <w:tr w:rsidR="00C5454B" w:rsidRPr="007E4365" w:rsidTr="00624BD2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кустарника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5146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67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5454B" w:rsidRPr="007E4365" w:rsidTr="00624BD2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C5454B" w:rsidRPr="007E4365" w:rsidRDefault="00C5454B" w:rsidP="00C82BB2">
            <w:pPr>
              <w:widowControl w:val="0"/>
              <w:spacing w:line="240" w:lineRule="auto"/>
              <w:ind w:left="57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Подземные сети: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ind w:right="101"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C5454B" w:rsidRPr="007E4365" w:rsidTr="00624BD2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C5454B" w:rsidRPr="007E4365" w:rsidRDefault="00C5454B" w:rsidP="00C82BB2">
            <w:pPr>
              <w:widowControl w:val="0"/>
              <w:spacing w:line="240" w:lineRule="auto"/>
              <w:ind w:left="386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5454B" w:rsidRPr="007E4365" w:rsidTr="00624BD2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C5454B" w:rsidRPr="007E4365" w:rsidRDefault="00C5454B" w:rsidP="00C82BB2">
            <w:pPr>
              <w:widowControl w:val="0"/>
              <w:spacing w:line="240" w:lineRule="auto"/>
              <w:ind w:left="386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C5454B" w:rsidRPr="007E4365" w:rsidTr="00624BD2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C5454B" w:rsidRPr="007E4365" w:rsidRDefault="00C5454B" w:rsidP="00C82BB2">
            <w:pPr>
              <w:widowControl w:val="0"/>
              <w:spacing w:line="240" w:lineRule="auto"/>
              <w:ind w:left="386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</w:tbl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Примечания: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4.2.23.</w:t>
      </w:r>
      <w:r w:rsidRPr="00C82BB2">
        <w:rPr>
          <w:rFonts w:ascii="Times New Roman" w:hAnsi="Times New Roman" w:cs="Times New Roman"/>
          <w:sz w:val="24"/>
          <w:szCs w:val="24"/>
        </w:rPr>
        <w:t>.Все озелененные территории должны быть благоустроены и оборудованы малыми архитектурными формами: фонтанами и бассейнами, лестницами, беседками, светильниками и др. Число светильников следует определять по нормам освещенности территорий. Основные требования к благоустройству следует принимать в соответствии с подразделом «Комплексное благоустройство общественно-деловых зон» настоящих нормативов.</w:t>
      </w:r>
    </w:p>
    <w:p w:rsidR="00C5454B" w:rsidRPr="00C82BB2" w:rsidRDefault="00C5454B" w:rsidP="00C82BB2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3" w:name="_Toc277842717"/>
      <w:bookmarkStart w:id="54" w:name="_Toc277842955"/>
      <w:bookmarkStart w:id="55" w:name="_Toc297163228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C82BB2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53"/>
      <w:bookmarkEnd w:id="54"/>
      <w:bookmarkEnd w:id="55"/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4.3.1.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Для организации массового загородного отдыха, туризма и лечения выделяются территории, благоприятные по своим природным и лечебно-оздоровительным качествам.</w:t>
      </w:r>
    </w:p>
    <w:p w:rsidR="00C5454B" w:rsidRPr="00C82BB2" w:rsidRDefault="00C5454B" w:rsidP="00C82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4.3.2.</w:t>
      </w:r>
      <w:r w:rsidRPr="00C82BB2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4.3.3.</w:t>
      </w:r>
      <w:r w:rsidRPr="00C82BB2">
        <w:rPr>
          <w:rFonts w:ascii="Times New Roman" w:hAnsi="Times New Roman"/>
          <w:sz w:val="24"/>
          <w:szCs w:val="24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19.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56" w:name="_Toc277842718"/>
      <w:bookmarkStart w:id="57" w:name="_Toc277842956"/>
      <w:bookmarkStart w:id="58" w:name="_Toc297163229"/>
      <w:r w:rsidRPr="00C82BB2">
        <w:rPr>
          <w:rFonts w:ascii="Times New Roman" w:hAnsi="Times New Roman"/>
          <w:sz w:val="24"/>
          <w:szCs w:val="24"/>
        </w:rPr>
        <w:t>Таблица 19. Нормы обслуживания открытой сети для территорий загородного кратковременного отдыха</w:t>
      </w:r>
      <w:bookmarkEnd w:id="56"/>
      <w:bookmarkEnd w:id="57"/>
      <w:bookmarkEnd w:id="58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C5454B" w:rsidRPr="007E4365" w:rsidTr="00624BD2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на 1000 отдыхающих</w:t>
            </w:r>
          </w:p>
        </w:tc>
      </w:tr>
      <w:tr w:rsidR="00C5454B" w:rsidRPr="007E4365" w:rsidTr="00624BD2">
        <w:trPr>
          <w:trHeight w:val="413"/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питания: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- кафе, закусочные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- столовые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ind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- рестораны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посадочное место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Места для пикников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Пункты проката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Спортгородки 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</w:t>
            </w:r>
            <w:r w:rsidRPr="007E436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3 800 - 4 000 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Лодочные станции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лодки, шт.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Велолыжные станции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5454B" w:rsidRPr="007E4365" w:rsidTr="00624BD2">
        <w:trPr>
          <w:jc w:val="center"/>
        </w:trPr>
        <w:tc>
          <w:tcPr>
            <w:tcW w:w="496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Автостоянки </w:t>
            </w:r>
          </w:p>
        </w:tc>
        <w:tc>
          <w:tcPr>
            <w:tcW w:w="2012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8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4.3.4.</w:t>
      </w:r>
      <w:r w:rsidRPr="00C82BB2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C5454B" w:rsidRPr="00C82BB2" w:rsidRDefault="00C5454B" w:rsidP="00C82B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C5454B" w:rsidRPr="00C82BB2" w:rsidRDefault="00C5454B" w:rsidP="00C82BB2">
      <w:pPr>
        <w:widowControl w:val="0"/>
        <w:tabs>
          <w:tab w:val="left" w:pos="74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4.3.5.</w:t>
      </w:r>
      <w:r w:rsidRPr="00C82BB2">
        <w:rPr>
          <w:rFonts w:ascii="Times New Roman" w:hAnsi="Times New Roman"/>
          <w:sz w:val="24"/>
          <w:szCs w:val="24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C82BB2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C82BB2">
        <w:rPr>
          <w:rFonts w:ascii="Times New Roman" w:hAnsi="Times New Roman" w:cs="Times New Roman"/>
          <w:sz w:val="24"/>
          <w:szCs w:val="24"/>
        </w:rPr>
        <w:t>К водным устройствам относятся питьевые фонтанчики, родники, декоративные водоемы.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Питьевые фонтанчики могут быть типовыми либо выполненными по специально разработанному проекту. Место размещения питьевого фонтанчика и подход к нему должны быть оборудованы твердым видом покрытия, высота фонтанчика должна составлять не более 90 см для взрослых и не более 70 см для детей. Не менее одной чаши питьевых фонтанчиков в зонах отдыха должно быть доступно для инвалидов.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C82BB2">
        <w:rPr>
          <w:rFonts w:ascii="Times New Roman" w:hAnsi="Times New Roman" w:cs="Times New Roman"/>
          <w:sz w:val="24"/>
          <w:szCs w:val="24"/>
        </w:rPr>
        <w:t>В зонах отдыха допускается установка скамей на "мягкие" виды покрытия. Поверхности скамьи для отдыха рекомендуется выполнять из дерева с различными видами водоустойчивой обработки (предпочтительно - пропиткой).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sz w:val="24"/>
          <w:szCs w:val="24"/>
        </w:rPr>
        <w:t>Допускается выполнять скамьи и столы из древесных пней-срубов, бревен и плах, не имеющих сколов и острых углов.</w:t>
      </w: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 xml:space="preserve">4.3.9. </w:t>
      </w:r>
      <w:r w:rsidRPr="00C82BB2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4.3.10.</w:t>
      </w:r>
      <w:r w:rsidRPr="00C82BB2"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C82BB2">
        <w:rPr>
          <w:rFonts w:ascii="Times New Roman" w:hAnsi="Times New Roman"/>
          <w:sz w:val="24"/>
          <w:szCs w:val="24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20. 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Таблица 20.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559"/>
        <w:gridCol w:w="5075"/>
      </w:tblGrid>
      <w:tr w:rsidR="00C5454B" w:rsidRPr="007E4365" w:rsidTr="00624BD2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C5454B" w:rsidRPr="00C82BB2" w:rsidRDefault="00C5454B" w:rsidP="00C82BB2">
            <w:pPr>
              <w:pStyle w:val="ConsCell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C5454B" w:rsidRPr="00C82BB2" w:rsidRDefault="00C5454B" w:rsidP="00C82BB2">
            <w:pPr>
              <w:pStyle w:val="ConsCell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C5454B" w:rsidRPr="00C82BB2" w:rsidRDefault="00C5454B" w:rsidP="00C82BB2">
            <w:pPr>
              <w:pStyle w:val="ConsCell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C5454B" w:rsidRPr="007E4365" w:rsidTr="00624BD2">
        <w:trPr>
          <w:trHeight w:val="912"/>
          <w:jc w:val="center"/>
        </w:trPr>
        <w:tc>
          <w:tcPr>
            <w:tcW w:w="2695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C5454B" w:rsidRPr="007E4365" w:rsidTr="00624BD2">
        <w:trPr>
          <w:trHeight w:val="273"/>
          <w:jc w:val="center"/>
        </w:trPr>
        <w:tc>
          <w:tcPr>
            <w:tcW w:w="2695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C5454B" w:rsidRPr="007E4365" w:rsidTr="00624BD2">
        <w:trPr>
          <w:trHeight w:val="688"/>
          <w:jc w:val="center"/>
        </w:trPr>
        <w:tc>
          <w:tcPr>
            <w:tcW w:w="2695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C5454B" w:rsidRPr="007E4365" w:rsidTr="00624BD2">
        <w:trPr>
          <w:trHeight w:val="131"/>
          <w:jc w:val="center"/>
        </w:trPr>
        <w:tc>
          <w:tcPr>
            <w:tcW w:w="2695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69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C5454B" w:rsidRPr="00C82BB2" w:rsidRDefault="00C5454B" w:rsidP="00C82BB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C5454B" w:rsidRPr="00C82BB2" w:rsidRDefault="00C5454B" w:rsidP="00C82BB2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2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C5454B" w:rsidRPr="00C82BB2" w:rsidRDefault="00C5454B" w:rsidP="00C82BB2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82BB2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C82BB2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C82BB2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C82BB2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C5454B" w:rsidRPr="00C82BB2" w:rsidRDefault="00C5454B" w:rsidP="00C82BB2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2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54B" w:rsidRPr="00C82BB2" w:rsidRDefault="00C5454B" w:rsidP="00C82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B2">
        <w:rPr>
          <w:rFonts w:ascii="Times New Roman" w:hAnsi="Times New Roman" w:cs="Times New Roman"/>
          <w:b/>
          <w:sz w:val="24"/>
          <w:szCs w:val="24"/>
        </w:rPr>
        <w:t>4.3.11.</w:t>
      </w:r>
      <w:r w:rsidRPr="00C82BB2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C5454B" w:rsidRPr="00C82BB2" w:rsidRDefault="00C5454B" w:rsidP="00C82BB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9" w:name="_Toc277842719"/>
      <w:bookmarkStart w:id="60" w:name="_Toc277842957"/>
      <w:bookmarkStart w:id="61" w:name="_Toc297163230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59"/>
      <w:bookmarkEnd w:id="60"/>
      <w:bookmarkEnd w:id="61"/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4.4.1.</w:t>
      </w:r>
      <w:r w:rsidRPr="00C82BB2">
        <w:rPr>
          <w:rFonts w:ascii="Times New Roman" w:hAnsi="Times New Roman"/>
          <w:sz w:val="24"/>
          <w:szCs w:val="24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(территории общеобразовательных школ, учреждений начального профессионального, среднего профессионального и высшего образования) и рекреационных зон.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4.4.2.</w:t>
      </w:r>
      <w:r w:rsidRPr="00C82BB2">
        <w:rPr>
          <w:rFonts w:ascii="Times New Roman" w:hAnsi="Times New Roman"/>
          <w:sz w:val="24"/>
          <w:szCs w:val="24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4.4.3.</w:t>
      </w:r>
      <w:r w:rsidRPr="00C82BB2">
        <w:rPr>
          <w:rFonts w:ascii="Times New Roman" w:hAnsi="Times New Roman"/>
          <w:sz w:val="24"/>
          <w:szCs w:val="24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4.4.5.</w:t>
      </w:r>
      <w:r w:rsidRPr="00C82BB2">
        <w:rPr>
          <w:rFonts w:ascii="Times New Roman" w:hAnsi="Times New Roman"/>
          <w:sz w:val="24"/>
          <w:szCs w:val="24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4.4.6.</w:t>
      </w:r>
      <w:r w:rsidRPr="00C82BB2">
        <w:rPr>
          <w:rFonts w:ascii="Times New Roman" w:hAnsi="Times New Roman"/>
          <w:sz w:val="24"/>
          <w:szCs w:val="24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Размещение отдельных открытых плоскостных физкультурно-оздоровительных сооружений и сблокированных плоскостных сооружений следует проектировать с учетом нормативных разрывов от жилых домов, м, до: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площадок для занятий физкультурой – по таблице 7 настоящих нормативов;</w:t>
      </w:r>
    </w:p>
    <w:p w:rsidR="00C5454B" w:rsidRPr="00C82BB2" w:rsidRDefault="00C5454B" w:rsidP="00C82BB2">
      <w:pPr>
        <w:widowControl w:val="0"/>
        <w:tabs>
          <w:tab w:val="num" w:pos="468"/>
          <w:tab w:val="num" w:pos="924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сооружений для спортивных игр и роллерспорта – 30-40;</w:t>
      </w:r>
    </w:p>
    <w:p w:rsidR="00C5454B" w:rsidRPr="00C82BB2" w:rsidRDefault="00C5454B" w:rsidP="00C82BB2">
      <w:pPr>
        <w:widowControl w:val="0"/>
        <w:tabs>
          <w:tab w:val="num" w:pos="468"/>
          <w:tab w:val="num" w:pos="924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сооружений для инвалидов, сооружений для индивидуальных гимнастических упражнений, физкультурно-рекреационных площадок для детей – 20.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Для сооружений, используемых детьми и инвалидами допускается сокращение нормативного разрыва между жилыми зданиями и открытыми плоскостными сооружениями, размещенными со стороны глухих торцов жилых зданий до 10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4.4.7.</w:t>
      </w:r>
      <w:r w:rsidRPr="00C82BB2">
        <w:rPr>
          <w:rFonts w:ascii="Times New Roman" w:hAnsi="Times New Roman"/>
          <w:sz w:val="24"/>
          <w:szCs w:val="24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C5454B" w:rsidRPr="00C82BB2" w:rsidRDefault="00C5454B" w:rsidP="00C82BB2">
      <w:pPr>
        <w:widowControl w:val="0"/>
        <w:shd w:val="clear" w:color="auto" w:fill="FFFFFF"/>
        <w:tabs>
          <w:tab w:val="left" w:pos="694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4.4.8.</w:t>
      </w:r>
      <w:r w:rsidRPr="00C82BB2">
        <w:rPr>
          <w:rFonts w:ascii="Times New Roman" w:hAnsi="Times New Roman"/>
          <w:sz w:val="24"/>
          <w:szCs w:val="24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C5454B" w:rsidRPr="00C82BB2" w:rsidRDefault="00C5454B" w:rsidP="00C82BB2">
      <w:pPr>
        <w:widowControl w:val="0"/>
        <w:shd w:val="clear" w:color="auto" w:fill="FFFFFF"/>
        <w:tabs>
          <w:tab w:val="left" w:pos="694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 трибунами вместимостью свыше 500 мест – 300;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 трибунами вместимостью свыше 100 до 500 мест – 100;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с трибунами вместимостью до 100 мест – 50.</w:t>
      </w:r>
    </w:p>
    <w:p w:rsidR="00C5454B" w:rsidRPr="00C82BB2" w:rsidRDefault="00C5454B" w:rsidP="00C82BB2">
      <w:pPr>
        <w:widowControl w:val="0"/>
        <w:shd w:val="clear" w:color="auto" w:fill="FFFFFF"/>
        <w:tabs>
          <w:tab w:val="left" w:pos="585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 xml:space="preserve">4.4.9. </w:t>
      </w:r>
      <w:r w:rsidRPr="00C82BB2">
        <w:rPr>
          <w:rFonts w:ascii="Times New Roman" w:hAnsi="Times New Roman"/>
          <w:sz w:val="24"/>
          <w:szCs w:val="24"/>
        </w:rPr>
        <w:t>Территория спортивных и физкультурно-оздоровительных учреждений должна быть благоустроена и озеленена.</w:t>
      </w:r>
    </w:p>
    <w:p w:rsidR="00C5454B" w:rsidRPr="00C82BB2" w:rsidRDefault="00C5454B" w:rsidP="00C82BB2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C5454B" w:rsidRPr="00C82BB2" w:rsidRDefault="00C5454B" w:rsidP="00C82BB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2B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5454B" w:rsidRPr="00C82BB2" w:rsidRDefault="00C5454B" w:rsidP="00C82BB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62" w:name="_Toc297163233"/>
      <w:bookmarkStart w:id="63" w:name="_Toc277842743"/>
      <w:bookmarkStart w:id="64" w:name="_Toc277842981"/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C82BB2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62"/>
    </w:p>
    <w:p w:rsidR="00C5454B" w:rsidRPr="00C82BB2" w:rsidRDefault="00C5454B" w:rsidP="00C82BB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5" w:name="_Toc297163234"/>
      <w:r w:rsidRPr="00C82BB2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C82BB2">
        <w:rPr>
          <w:rFonts w:ascii="Times New Roman" w:hAnsi="Times New Roman" w:cs="Times New Roman"/>
          <w:sz w:val="24"/>
          <w:szCs w:val="24"/>
        </w:rPr>
        <w:t xml:space="preserve"> </w:t>
      </w:r>
      <w:r w:rsidRPr="00C82BB2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63"/>
      <w:bookmarkEnd w:id="64"/>
      <w:bookmarkEnd w:id="65"/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5.1.1</w:t>
      </w:r>
      <w:r w:rsidRPr="00C82BB2">
        <w:rPr>
          <w:rFonts w:ascii="Times New Roman" w:hAnsi="Times New Roman"/>
          <w:sz w:val="24"/>
          <w:szCs w:val="24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5. 1.2</w:t>
      </w:r>
      <w:r w:rsidRPr="00C82BB2">
        <w:rPr>
          <w:rFonts w:ascii="Times New Roman" w:hAnsi="Times New Roman"/>
          <w:sz w:val="24"/>
          <w:szCs w:val="24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Категории улиц и дорог с. Лискинское  следует назначать в соответствии с классификацией, приведенной в таблице 22.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Таблица 22 Классификация категории улиц и дорог </w:t>
      </w:r>
    </w:p>
    <w:tbl>
      <w:tblPr>
        <w:tblW w:w="9755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6628"/>
      </w:tblGrid>
      <w:tr w:rsidR="00C5454B" w:rsidRPr="007E4365" w:rsidTr="00624BD2">
        <w:trPr>
          <w:trHeight w:val="284"/>
          <w:jc w:val="center"/>
        </w:trPr>
        <w:tc>
          <w:tcPr>
            <w:tcW w:w="3127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Категория дорог и улиц</w:t>
            </w:r>
          </w:p>
        </w:tc>
        <w:tc>
          <w:tcPr>
            <w:tcW w:w="6628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Основное назначение дорог и улиц</w:t>
            </w:r>
          </w:p>
        </w:tc>
      </w:tr>
      <w:tr w:rsidR="00C5454B" w:rsidRPr="007E4365" w:rsidTr="00624BD2">
        <w:trPr>
          <w:trHeight w:val="284"/>
          <w:jc w:val="center"/>
        </w:trPr>
        <w:tc>
          <w:tcPr>
            <w:tcW w:w="3127" w:type="dxa"/>
            <w:shd w:val="clear" w:color="auto" w:fill="E0E0E0"/>
          </w:tcPr>
          <w:p w:rsidR="00C5454B" w:rsidRPr="007E4365" w:rsidRDefault="00C5454B" w:rsidP="00C82BB2">
            <w:pPr>
              <w:widowControl w:val="0"/>
              <w:spacing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районного значения: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транспортно-пешеходные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Транспортная и пешеходная связи между населёнными пунктами, а также между жилыми и производственными зонами, общественными центрами, выходы на другие магистральные улицы и дороги 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пешеходно-транспортные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9755" w:type="dxa"/>
            <w:gridSpan w:val="2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  <w:t>Улицы и дороги местного значения</w:t>
            </w:r>
            <w:r w:rsidRPr="007E43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улицы и дороги в производственных, в том числе коммунально-складских зонах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 </w:t>
            </w:r>
          </w:p>
        </w:tc>
      </w:tr>
      <w:tr w:rsidR="00C5454B" w:rsidRPr="007E4365" w:rsidTr="00624BD2">
        <w:trPr>
          <w:trHeight w:val="1123"/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пешеходные улицы и дороги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Подъезд транспортных средств к жилым, общественным зданиям, учреждениям, предприятиям и другим объектам внутри населённых пунктов.</w:t>
            </w:r>
          </w:p>
        </w:tc>
      </w:tr>
      <w:tr w:rsidR="00C5454B" w:rsidRPr="007E4365" w:rsidTr="00624BD2">
        <w:trPr>
          <w:jc w:val="center"/>
        </w:trPr>
        <w:tc>
          <w:tcPr>
            <w:tcW w:w="312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6628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По свободным от других видов транспорта трассам. </w:t>
            </w:r>
          </w:p>
        </w:tc>
      </w:tr>
    </w:tbl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5.1.3</w:t>
      </w:r>
      <w:r w:rsidRPr="00C82BB2">
        <w:rPr>
          <w:rFonts w:ascii="Times New Roman" w:hAnsi="Times New Roman"/>
          <w:sz w:val="24"/>
          <w:szCs w:val="24"/>
        </w:rPr>
        <w:t>. Основные расчетные параметры уличной сети с. Лискинское  следует устанавливать в соответствии с таблицей 23.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66" w:name="_Toc277842744"/>
      <w:bookmarkStart w:id="67" w:name="_Toc277842982"/>
      <w:bookmarkStart w:id="68" w:name="_Toc297163235"/>
      <w:r w:rsidRPr="00C82BB2">
        <w:rPr>
          <w:rFonts w:ascii="Times New Roman" w:hAnsi="Times New Roman"/>
          <w:sz w:val="24"/>
          <w:szCs w:val="24"/>
        </w:rPr>
        <w:t>Таблица 23 Расчетные параметры уличной сети</w:t>
      </w:r>
      <w:bookmarkEnd w:id="66"/>
      <w:bookmarkEnd w:id="67"/>
      <w:bookmarkEnd w:id="68"/>
      <w:r w:rsidRPr="00C82BB2">
        <w:rPr>
          <w:rFonts w:ascii="Times New Roman" w:hAnsi="Times New Roman"/>
          <w:sz w:val="24"/>
          <w:szCs w:val="24"/>
        </w:rPr>
        <w:t>.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C5454B" w:rsidRPr="007E4365" w:rsidTr="00624BD2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Ширина пешеход-ной части тротуара, м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C5454B" w:rsidRPr="007E4365" w:rsidRDefault="00C5454B" w:rsidP="00C82BB2">
            <w:pPr>
              <w:widowControl w:val="0"/>
              <w:spacing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Улицы и дороги местного </w:t>
            </w: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значения: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улицы в жилой застройке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2-3*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парковые дороги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C5454B" w:rsidRPr="007E4365" w:rsidRDefault="00C5454B" w:rsidP="00C82BB2">
            <w:pPr>
              <w:widowControl w:val="0"/>
              <w:spacing w:line="240" w:lineRule="auto"/>
              <w:ind w:left="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Проезды: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10-11,5</w:t>
            </w: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5454B" w:rsidRPr="007E4365" w:rsidTr="00624BD2">
        <w:trPr>
          <w:trHeight w:val="227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второстепенные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5454B" w:rsidRPr="007E4365" w:rsidTr="00624BD2">
        <w:trPr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  <w:shd w:val="clear" w:color="auto" w:fill="D9D9D9"/>
              </w:rPr>
              <w:t>Пешеходные улицы</w:t>
            </w: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4B" w:rsidRPr="007E4365" w:rsidTr="00624BD2">
        <w:trPr>
          <w:trHeight w:val="323"/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firstLine="10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4"/>
                <w:sz w:val="24"/>
                <w:szCs w:val="24"/>
              </w:rPr>
              <w:t>расчету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проекту</w:t>
            </w:r>
          </w:p>
        </w:tc>
      </w:tr>
      <w:tr w:rsidR="00C5454B" w:rsidRPr="007E4365" w:rsidTr="00624BD2">
        <w:trPr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 w:firstLine="10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второстепенные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проекту</w:t>
            </w:r>
          </w:p>
        </w:tc>
      </w:tr>
      <w:tr w:rsidR="00C5454B" w:rsidRPr="007E4365" w:rsidTr="00624BD2">
        <w:trPr>
          <w:jc w:val="center"/>
        </w:trPr>
        <w:tc>
          <w:tcPr>
            <w:tcW w:w="2835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pacing w:val="-2"/>
                <w:sz w:val="24"/>
                <w:szCs w:val="24"/>
              </w:rPr>
              <w:t>Велосипедные дорожки:</w:t>
            </w:r>
          </w:p>
        </w:tc>
        <w:tc>
          <w:tcPr>
            <w:tcW w:w="1077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8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C82BB2">
        <w:rPr>
          <w:rFonts w:ascii="Times New Roman" w:hAnsi="Times New Roman"/>
          <w:i/>
          <w:spacing w:val="40"/>
          <w:sz w:val="24"/>
          <w:szCs w:val="24"/>
        </w:rPr>
        <w:t>Примечания: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2. В условиях реконструкции,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км/ч с уменьшением радиусов кривых в плане и увеличением продольных уклонов.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3. Для движения автобусов на магистральных улицах и дорогах следует предусматривать крайнюю полосу шириной 4 м: для пропуска автобусов в часы «пик» при интенсивности более 40 ед./ч, а в условиях реконструкции – более 20 ед./ч допускается устройство обособленной проезжей части шириной 8-12 м.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5.1.4</w:t>
      </w:r>
      <w:r w:rsidRPr="00C82BB2">
        <w:rPr>
          <w:rFonts w:ascii="Times New Roman" w:hAnsi="Times New Roman"/>
          <w:sz w:val="24"/>
          <w:szCs w:val="24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C82BB2">
        <w:rPr>
          <w:rFonts w:ascii="Times New Roman" w:hAnsi="Times New Roman"/>
          <w:b/>
          <w:sz w:val="24"/>
          <w:szCs w:val="24"/>
        </w:rPr>
        <w:t>проезды</w:t>
      </w:r>
      <w:r w:rsidRPr="00C82BB2">
        <w:rPr>
          <w:rFonts w:ascii="Times New Roman" w:hAnsi="Times New Roman"/>
          <w:sz w:val="24"/>
          <w:szCs w:val="24"/>
        </w:rPr>
        <w:t>, в том числе: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к отдельно стоящим зданиям – второстепенные с шириной проезжей части 3,5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5.1.5.</w:t>
      </w:r>
      <w:r w:rsidRPr="00C82BB2">
        <w:rPr>
          <w:rFonts w:ascii="Times New Roman" w:hAnsi="Times New Roman"/>
          <w:sz w:val="24"/>
          <w:szCs w:val="24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Использование разворотных площадок для стоянки автомобилей не допускается.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5.1.6.</w:t>
      </w:r>
      <w:r w:rsidRPr="00C82BB2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5.1.7.</w:t>
      </w:r>
      <w:r w:rsidRPr="00C82BB2">
        <w:t xml:space="preserve"> В зоне малоэтажной жилой застройки в</w:t>
      </w:r>
      <w:r w:rsidRPr="00C82BB2">
        <w:rPr>
          <w:b/>
        </w:rPr>
        <w:t>торостепенные проезды</w:t>
      </w:r>
      <w:r w:rsidRPr="00C82BB2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5.1.8</w:t>
      </w:r>
      <w:r w:rsidRPr="00C82BB2">
        <w:t>. Расстояние от края проезжей части автодорог улично-дорожной сети, сети общественного пассажирского транспорта до жилых и общественных зданий, границ территорий лечебных, дошкольных образовательных учреждений, школ следует принимать с учетом обеспечения требований гигиенических нормативов по уровню шума, вибрации и загрязнения атмосферного воздуха на территории жилой застройки и в жилых помещениях внутри зданий.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5.1.9</w:t>
      </w:r>
      <w:r w:rsidRPr="00C82BB2">
        <w:rPr>
          <w:rFonts w:ascii="Times New Roman" w:hAnsi="Times New Roman"/>
          <w:sz w:val="24"/>
          <w:szCs w:val="24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BB2">
        <w:rPr>
          <w:rFonts w:ascii="Times New Roman" w:hAnsi="Times New Roman"/>
          <w:sz w:val="24"/>
          <w:szCs w:val="24"/>
        </w:rPr>
        <w:t>полосами.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до проезжей части, опор транспортных сооружений и деревьев – 0,75;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до тротуаров – 0,5;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до стоянок автомобилей и остановок общественного транспорта – 1,5.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5.1.12</w:t>
      </w:r>
      <w:r w:rsidRPr="00C82BB2">
        <w:rPr>
          <w:rFonts w:ascii="Times New Roman" w:hAnsi="Times New Roman"/>
          <w:sz w:val="24"/>
          <w:szCs w:val="24"/>
        </w:rPr>
        <w:t xml:space="preserve">. Основные </w:t>
      </w:r>
      <w:r w:rsidRPr="00C82BB2">
        <w:rPr>
          <w:rFonts w:ascii="Times New Roman" w:hAnsi="Times New Roman"/>
          <w:b/>
          <w:sz w:val="24"/>
          <w:szCs w:val="24"/>
        </w:rPr>
        <w:t>пешеходные коммуникации</w:t>
      </w:r>
      <w:r w:rsidRPr="00C82BB2">
        <w:rPr>
          <w:rFonts w:ascii="Times New Roman" w:hAnsi="Times New Roman"/>
          <w:sz w:val="24"/>
          <w:szCs w:val="24"/>
        </w:rPr>
        <w:t xml:space="preserve"> (тротуары, аллеи, дорожки, тропинки)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Проектирование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движения, но принимать не менее 1,5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Общая ширина пешеходной коммуникации в случае размещения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креслах-качалках не должна быть менее 1,8 м.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5.1.13</w:t>
      </w:r>
      <w:r w:rsidRPr="00C82BB2">
        <w:rPr>
          <w:rFonts w:ascii="Times New Roman" w:hAnsi="Times New Roman"/>
          <w:sz w:val="24"/>
          <w:szCs w:val="24"/>
        </w:rPr>
        <w:t xml:space="preserve">. </w:t>
      </w:r>
      <w:r w:rsidRPr="00C82BB2">
        <w:rPr>
          <w:rFonts w:ascii="Times New Roman" w:hAnsi="Times New Roman"/>
          <w:b/>
          <w:sz w:val="24"/>
          <w:szCs w:val="24"/>
        </w:rPr>
        <w:t>Пешеходные переходы</w:t>
      </w:r>
      <w:r w:rsidRPr="00C82BB2">
        <w:rPr>
          <w:rFonts w:ascii="Times New Roman" w:hAnsi="Times New Roman"/>
          <w:sz w:val="24"/>
          <w:szCs w:val="24"/>
        </w:rPr>
        <w:t xml:space="preserve"> следует размещать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 или вне уровня проезжей части улицы (надземные и подземные).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Пешеходные переходы в одном уровне с проезжей частью (наземные) на магистральных улицах и дорогах регулируемого движения в пределах застроенной территории следует предусматривать с интервалом 200-300 м.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5.1.14</w:t>
      </w:r>
      <w:r w:rsidRPr="00C82BB2">
        <w:rPr>
          <w:rFonts w:ascii="Times New Roman" w:hAnsi="Times New Roman"/>
          <w:sz w:val="24"/>
          <w:szCs w:val="24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C5454B" w:rsidRPr="00C82BB2" w:rsidRDefault="00C5454B" w:rsidP="00C82BB2">
      <w:pPr>
        <w:pStyle w:val="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C82BB2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5.1.15</w:t>
      </w:r>
      <w:r w:rsidRPr="00C82BB2">
        <w:rPr>
          <w:rFonts w:ascii="Times New Roman" w:hAnsi="Times New Roman"/>
          <w:sz w:val="24"/>
          <w:szCs w:val="24"/>
        </w:rPr>
        <w:t xml:space="preserve">. </w:t>
      </w:r>
      <w:r w:rsidRPr="00C82BB2">
        <w:rPr>
          <w:rFonts w:ascii="Times New Roman" w:hAnsi="Times New Roman"/>
          <w:b/>
          <w:sz w:val="24"/>
          <w:szCs w:val="24"/>
        </w:rPr>
        <w:t>Пересечения и примыкания дорог и улиц</w:t>
      </w:r>
      <w:r w:rsidRPr="00C82BB2">
        <w:rPr>
          <w:rFonts w:ascii="Times New Roman" w:hAnsi="Times New Roman"/>
          <w:sz w:val="24"/>
          <w:szCs w:val="24"/>
        </w:rPr>
        <w:t xml:space="preserve"> следует располагать на свободных площадках и на прямых участках пересекающихся или примыкающих дорог.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Пересечения и примыкания дорог в одном уровне независимо от схемы пересечений рекомендуется выполнять под прямым или близким к нему углом. В случаях, когда транспортные потоки не пересекаются, а разветвляются или сливаются, допускается устраивать пересечения дорог под любым углом с учетом обеспечения видимости.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 - транспорт» при скорости движения 40 и 60 км/ч должны быть соответственно не менее, м: 25 и 40. Для условий «пешеход – транспорт» размеры прямоугольного треугольника видимости должны быть при скорости движения транспорта 25 и 40 км/ч соответственно 8</w:t>
      </w:r>
      <w:r w:rsidRPr="00C82BB2">
        <w:rPr>
          <w:rFonts w:ascii="Times New Roman" w:hAnsi="Times New Roman"/>
          <w:sz w:val="24"/>
          <w:szCs w:val="24"/>
        </w:rPr>
        <w:sym w:font="Symbol" w:char="F0B4"/>
      </w:r>
      <w:r w:rsidRPr="00C82BB2">
        <w:rPr>
          <w:rFonts w:ascii="Times New Roman" w:hAnsi="Times New Roman"/>
          <w:sz w:val="24"/>
          <w:szCs w:val="24"/>
        </w:rPr>
        <w:t>40 и 10</w:t>
      </w:r>
      <w:r w:rsidRPr="00C82BB2">
        <w:rPr>
          <w:rFonts w:ascii="Times New Roman" w:hAnsi="Times New Roman"/>
          <w:sz w:val="24"/>
          <w:szCs w:val="24"/>
        </w:rPr>
        <w:sym w:font="Symbol" w:char="F0B4"/>
      </w:r>
      <w:r w:rsidRPr="00C82BB2">
        <w:rPr>
          <w:rFonts w:ascii="Times New Roman" w:hAnsi="Times New Roman"/>
          <w:sz w:val="24"/>
          <w:szCs w:val="24"/>
        </w:rPr>
        <w:t>50 м.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В пределах жилых территорий и на придомовых территориях следует предусматривать открытые площадки (</w:t>
      </w:r>
      <w:r w:rsidRPr="00C82BB2">
        <w:rPr>
          <w:rFonts w:ascii="Times New Roman" w:hAnsi="Times New Roman"/>
          <w:b/>
          <w:sz w:val="24"/>
          <w:szCs w:val="24"/>
        </w:rPr>
        <w:t>гостевые автостоянки</w:t>
      </w:r>
      <w:r w:rsidRPr="00C82BB2">
        <w:rPr>
          <w:rFonts w:ascii="Times New Roman" w:hAnsi="Times New Roman"/>
          <w:sz w:val="24"/>
          <w:szCs w:val="24"/>
        </w:rPr>
        <w:t>) для парковки легковых автомобилей посетителей, из расчета 40 машино-мест на 1000 жителей, удаленные от подъездов обслуживаемых жилых зданий не более чем на 200 м.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5.2.7.</w:t>
      </w:r>
      <w:r w:rsidRPr="00C82BB2">
        <w:rPr>
          <w:rFonts w:ascii="Times New Roman" w:hAnsi="Times New Roman"/>
          <w:sz w:val="24"/>
          <w:szCs w:val="24"/>
        </w:rPr>
        <w:t xml:space="preserve"> Открытые автостоянки </w:t>
      </w:r>
      <w:r w:rsidRPr="00C82BB2">
        <w:rPr>
          <w:rFonts w:ascii="Times New Roman" w:hAnsi="Times New Roman"/>
          <w:b/>
          <w:sz w:val="24"/>
          <w:szCs w:val="24"/>
        </w:rPr>
        <w:t>для временного хранения</w:t>
      </w:r>
      <w:r w:rsidRPr="00C82BB2">
        <w:rPr>
          <w:rFonts w:ascii="Times New Roman" w:hAnsi="Times New Roman"/>
          <w:sz w:val="24"/>
          <w:szCs w:val="24"/>
        </w:rPr>
        <w:t xml:space="preserve"> </w:t>
      </w:r>
      <w:r w:rsidRPr="00C82BB2">
        <w:rPr>
          <w:rFonts w:ascii="Times New Roman" w:hAnsi="Times New Roman"/>
          <w:b/>
          <w:sz w:val="24"/>
          <w:szCs w:val="24"/>
        </w:rPr>
        <w:t>(парковки)</w:t>
      </w:r>
      <w:r w:rsidRPr="00C82BB2">
        <w:rPr>
          <w:rFonts w:ascii="Times New Roman" w:hAnsi="Times New Roman"/>
          <w:sz w:val="24"/>
          <w:szCs w:val="24"/>
        </w:rPr>
        <w:t xml:space="preserve"> легковых автомобилей следует предусматривать из расчета не менее чем для 70 % расчетного парка индивидуальных легковых автомобилей, в том числе  %: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жилые районы – 25;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производственные зоны – 25;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общегородские центры – 5;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t>- зоны массового кратковременного отдыха – 15.</w:t>
      </w:r>
    </w:p>
    <w:p w:rsidR="00C5454B" w:rsidRPr="00C82BB2" w:rsidRDefault="00C5454B" w:rsidP="00C82BB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C82BB2">
        <w:rPr>
          <w:b/>
        </w:rPr>
        <w:t>5.2.8.</w:t>
      </w:r>
      <w:r w:rsidRPr="00C82BB2">
        <w:t xml:space="preserve">. </w:t>
      </w:r>
      <w:r w:rsidRPr="00C82BB2">
        <w:rPr>
          <w:spacing w:val="-2"/>
        </w:rPr>
        <w:t xml:space="preserve">Требуемое расчетное количество машино-мест для парковки легковых автомобилей </w:t>
      </w:r>
      <w:r w:rsidRPr="00C82BB2">
        <w:t>на приобъектных стоянках у общественных зданий, учреждений, предприятий, вокзалов, на рекреационных территориях допускается определять в соответствии с рекомендуемой таблицей 11 настоящих нормативов.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На автостоянках, обслуживающих объекты посещения различного функционального назначения, следует выделять места для парковки личных автотранспортных средств, принадлежащих инвалидам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5.2.9.</w:t>
      </w:r>
      <w:r w:rsidRPr="00C82BB2">
        <w:rPr>
          <w:rFonts w:ascii="Times New Roman" w:hAnsi="Times New Roman"/>
          <w:sz w:val="24"/>
          <w:szCs w:val="24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Площадь участка для стоянки одного автотранспортного средства следует принимать на одно машино-место, м</w:t>
      </w:r>
      <w:r w:rsidRPr="00C82BB2">
        <w:rPr>
          <w:rFonts w:ascii="Times New Roman" w:hAnsi="Times New Roman"/>
          <w:sz w:val="24"/>
          <w:szCs w:val="24"/>
          <w:vertAlign w:val="superscript"/>
        </w:rPr>
        <w:t>2</w:t>
      </w:r>
      <w:r w:rsidRPr="00C82BB2">
        <w:rPr>
          <w:rFonts w:ascii="Times New Roman" w:hAnsi="Times New Roman"/>
          <w:sz w:val="24"/>
          <w:szCs w:val="24"/>
        </w:rPr>
        <w:t>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легковых автомобилей – 25 (22,5)*;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грузовых автомобилей – 40;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- автобусов – 40;      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велосипедов – 0,9.</w:t>
      </w:r>
    </w:p>
    <w:p w:rsidR="00C5454B" w:rsidRPr="00C82BB2" w:rsidRDefault="00C5454B" w:rsidP="00C82BB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* В скобках – при примыкании участков для стоянки к проезжей части улиц и проездов.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5.2.10</w:t>
      </w:r>
      <w:r w:rsidRPr="00C82BB2">
        <w:rPr>
          <w:rFonts w:ascii="Times New Roman" w:hAnsi="Times New Roman"/>
          <w:sz w:val="24"/>
          <w:szCs w:val="24"/>
        </w:rPr>
        <w:t>. Открытые наземные автостоянки проектируются в виде дополнительных полос на проезжей части и в пределах разделительных полос. Специальные полосы для стоянки автомобилей могут устраиваться вдоль основных проезжих частей местных и боковых проездов, жилых улиц, дорог в промышленных и коммунально-складских зонах, магистральных улиц с регулируемым движением транспорта.</w:t>
      </w:r>
    </w:p>
    <w:p w:rsidR="00C5454B" w:rsidRPr="00C82BB2" w:rsidRDefault="00C5454B" w:rsidP="00C82BB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Территория открытой автостоянки должна быть ограничена полосами зеленых насаждений шириной не менее 1 м, в стесненных условиях допускается ограничение стоянки сплошной линией разметки.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5.2.11</w:t>
      </w:r>
      <w:r w:rsidRPr="00C82BB2">
        <w:rPr>
          <w:rFonts w:ascii="Times New Roman" w:hAnsi="Times New Roman"/>
          <w:sz w:val="24"/>
          <w:szCs w:val="24"/>
        </w:rPr>
        <w:t xml:space="preserve">. </w:t>
      </w:r>
      <w:r w:rsidRPr="00C82BB2">
        <w:rPr>
          <w:rFonts w:ascii="Times New Roman" w:hAnsi="Times New Roman"/>
          <w:b/>
          <w:sz w:val="24"/>
          <w:szCs w:val="24"/>
        </w:rPr>
        <w:t>Объекты по техническому обслуживанию</w:t>
      </w:r>
      <w:r w:rsidRPr="00C82BB2">
        <w:rPr>
          <w:rFonts w:ascii="Times New Roman" w:hAnsi="Times New Roman"/>
          <w:sz w:val="24"/>
          <w:szCs w:val="24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5 постов – 0,5;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10 постов – 1,0;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15 постов – 1,5.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C82BB2">
        <w:rPr>
          <w:rFonts w:ascii="Times New Roman" w:hAnsi="Times New Roman"/>
          <w:spacing w:val="-2"/>
          <w:sz w:val="24"/>
          <w:szCs w:val="24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25.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bookmarkStart w:id="69" w:name="_Toc277842749"/>
      <w:bookmarkStart w:id="70" w:name="_Toc277842987"/>
      <w:bookmarkStart w:id="71" w:name="_Toc297163236"/>
      <w:r w:rsidRPr="00C82BB2">
        <w:rPr>
          <w:rFonts w:ascii="Times New Roman" w:hAnsi="Times New Roman"/>
          <w:sz w:val="24"/>
          <w:szCs w:val="24"/>
        </w:rPr>
        <w:t xml:space="preserve">Таблица 25. </w:t>
      </w:r>
      <w:r w:rsidRPr="00C82BB2">
        <w:rPr>
          <w:rFonts w:ascii="Times New Roman" w:hAnsi="Times New Roman"/>
          <w:spacing w:val="-2"/>
          <w:sz w:val="24"/>
          <w:szCs w:val="24"/>
        </w:rPr>
        <w:t>Санитарные разрывы от объектов по обслуживанию автомобилей</w:t>
      </w:r>
      <w:bookmarkEnd w:id="69"/>
      <w:bookmarkEnd w:id="70"/>
      <w:bookmarkEnd w:id="71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14"/>
        <w:gridCol w:w="2759"/>
      </w:tblGrid>
      <w:tr w:rsidR="00C5454B" w:rsidRPr="007E4365" w:rsidTr="00624BD2">
        <w:trPr>
          <w:trHeight w:val="284"/>
          <w:jc w:val="center"/>
        </w:trPr>
        <w:tc>
          <w:tcPr>
            <w:tcW w:w="7114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Объекты по обслуживанию автомобилей</w:t>
            </w:r>
          </w:p>
        </w:tc>
        <w:tc>
          <w:tcPr>
            <w:tcW w:w="2759" w:type="dxa"/>
            <w:shd w:val="clear" w:color="auto" w:fill="E0E0E0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365">
              <w:rPr>
                <w:rFonts w:ascii="Times New Roman" w:hAnsi="Times New Roman"/>
                <w:b/>
                <w:sz w:val="24"/>
                <w:szCs w:val="24"/>
              </w:rPr>
              <w:t>Расстояние, м, не менее</w:t>
            </w:r>
          </w:p>
        </w:tc>
      </w:tr>
      <w:tr w:rsidR="00C5454B" w:rsidRPr="007E4365" w:rsidTr="00624BD2">
        <w:trPr>
          <w:jc w:val="center"/>
        </w:trPr>
        <w:tc>
          <w:tcPr>
            <w:tcW w:w="7114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454B" w:rsidRPr="007E4365" w:rsidTr="00624BD2">
        <w:trPr>
          <w:jc w:val="center"/>
        </w:trPr>
        <w:tc>
          <w:tcPr>
            <w:tcW w:w="7114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vAlign w:val="center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454B" w:rsidRPr="007E4365" w:rsidTr="00624BD2">
        <w:trPr>
          <w:jc w:val="center"/>
        </w:trPr>
        <w:tc>
          <w:tcPr>
            <w:tcW w:w="7114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Грузовых автомобилей</w:t>
            </w:r>
          </w:p>
        </w:tc>
        <w:tc>
          <w:tcPr>
            <w:tcW w:w="27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5454B" w:rsidRPr="007E4365" w:rsidTr="00624BD2">
        <w:trPr>
          <w:jc w:val="center"/>
        </w:trPr>
        <w:tc>
          <w:tcPr>
            <w:tcW w:w="7114" w:type="dxa"/>
          </w:tcPr>
          <w:p w:rsidR="00C5454B" w:rsidRPr="007E4365" w:rsidRDefault="00C5454B" w:rsidP="00C82BB2">
            <w:pPr>
              <w:widowControl w:val="0"/>
              <w:spacing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C5454B" w:rsidRPr="007E4365" w:rsidRDefault="00C5454B" w:rsidP="00C82BB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2BB2">
        <w:rPr>
          <w:rFonts w:ascii="Times New Roman" w:hAnsi="Times New Roman"/>
          <w:i/>
          <w:sz w:val="24"/>
          <w:szCs w:val="24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5.2.12</w:t>
      </w:r>
      <w:r w:rsidRPr="00C82BB2">
        <w:rPr>
          <w:rFonts w:ascii="Times New Roman" w:hAnsi="Times New Roman"/>
          <w:sz w:val="24"/>
          <w:szCs w:val="24"/>
        </w:rPr>
        <w:t xml:space="preserve">. </w:t>
      </w:r>
      <w:r w:rsidRPr="00C82BB2">
        <w:rPr>
          <w:rFonts w:ascii="Times New Roman" w:hAnsi="Times New Roman"/>
          <w:b/>
          <w:sz w:val="24"/>
          <w:szCs w:val="24"/>
        </w:rPr>
        <w:t>Автозаправочные станции</w:t>
      </w:r>
      <w:r w:rsidRPr="00C82BB2">
        <w:rPr>
          <w:rFonts w:ascii="Times New Roman" w:hAnsi="Times New Roman"/>
          <w:sz w:val="24"/>
          <w:szCs w:val="24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2 колонки – 0,1;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5 колонок – 0,2;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на 7 колонок – 0,3.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 xml:space="preserve">- </w:t>
      </w:r>
      <w:r w:rsidRPr="00C82BB2">
        <w:rPr>
          <w:rFonts w:ascii="Times New Roman" w:hAnsi="Times New Roman"/>
          <w:spacing w:val="-2"/>
          <w:sz w:val="24"/>
          <w:szCs w:val="24"/>
        </w:rPr>
        <w:t xml:space="preserve">автозаправочных станций </w:t>
      </w:r>
      <w:r w:rsidRPr="00C82BB2">
        <w:rPr>
          <w:rFonts w:ascii="Times New Roman" w:hAnsi="Times New Roman"/>
          <w:sz w:val="24"/>
          <w:szCs w:val="24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C5454B" w:rsidRPr="00C82BB2" w:rsidRDefault="00C5454B" w:rsidP="00C82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b/>
          <w:sz w:val="24"/>
          <w:szCs w:val="24"/>
        </w:rPr>
        <w:t>5.2.13.</w:t>
      </w:r>
      <w:r w:rsidRPr="00C82BB2">
        <w:rPr>
          <w:rFonts w:ascii="Times New Roman" w:hAnsi="Times New Roman"/>
          <w:sz w:val="24"/>
          <w:szCs w:val="24"/>
        </w:rPr>
        <w:t xml:space="preserve"> </w:t>
      </w:r>
      <w:r w:rsidRPr="00C82BB2">
        <w:rPr>
          <w:rFonts w:ascii="Times New Roman" w:hAnsi="Times New Roman"/>
          <w:b/>
          <w:sz w:val="24"/>
          <w:szCs w:val="24"/>
        </w:rPr>
        <w:t>Моечные пункты</w:t>
      </w:r>
      <w:r w:rsidRPr="00C82BB2">
        <w:rPr>
          <w:rFonts w:ascii="Times New Roman" w:hAnsi="Times New Roman"/>
          <w:sz w:val="24"/>
          <w:szCs w:val="24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C5454B" w:rsidRPr="00C82BB2" w:rsidRDefault="00C5454B" w:rsidP="00C82B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C5454B" w:rsidRPr="00C82BB2" w:rsidRDefault="00C5454B" w:rsidP="00C82BB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для моек автомобилей с количеством постов от 2 до 5 – 100;</w:t>
      </w:r>
    </w:p>
    <w:p w:rsidR="00C5454B" w:rsidRPr="00C82BB2" w:rsidRDefault="00C5454B" w:rsidP="00C82BB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2BB2">
        <w:rPr>
          <w:rFonts w:ascii="Times New Roman" w:hAnsi="Times New Roman"/>
          <w:sz w:val="24"/>
          <w:szCs w:val="24"/>
        </w:rPr>
        <w:t>- для моек автомобилей до двух постов – 50.</w:t>
      </w: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Pr="0036429D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454B" w:rsidRPr="0036429D" w:rsidRDefault="00C5454B" w:rsidP="0036429D">
      <w:pPr>
        <w:spacing w:after="0" w:line="240" w:lineRule="auto"/>
        <w:jc w:val="center"/>
        <w:rPr>
          <w:rFonts w:ascii="Times New Roman" w:hAnsi="Times New Roman"/>
          <w:b/>
        </w:rPr>
      </w:pPr>
      <w:r w:rsidRPr="0036429D">
        <w:rPr>
          <w:rFonts w:ascii="Times New Roman" w:hAnsi="Times New Roman"/>
          <w:b/>
        </w:rPr>
        <w:t xml:space="preserve">Акт </w:t>
      </w:r>
    </w:p>
    <w:p w:rsidR="00C5454B" w:rsidRPr="0036429D" w:rsidRDefault="00C5454B" w:rsidP="0036429D">
      <w:pPr>
        <w:tabs>
          <w:tab w:val="center" w:pos="4999"/>
          <w:tab w:val="left" w:pos="669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6429D">
        <w:rPr>
          <w:rFonts w:ascii="Times New Roman" w:hAnsi="Times New Roman"/>
          <w:b/>
        </w:rPr>
        <w:t>обнародования постановления № 24 от 28.05.2014 года</w:t>
      </w:r>
    </w:p>
    <w:p w:rsidR="00C5454B" w:rsidRPr="0036429D" w:rsidRDefault="00C5454B" w:rsidP="0036429D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lang w:eastAsia="ar-SA"/>
        </w:rPr>
      </w:pPr>
      <w:r w:rsidRPr="0036429D">
        <w:rPr>
          <w:rFonts w:ascii="Times New Roman" w:hAnsi="Times New Roman"/>
          <w:b/>
          <w:color w:val="000000"/>
          <w:spacing w:val="-4"/>
          <w:lang w:eastAsia="ar-SA"/>
        </w:rPr>
        <w:t>об утверждении  местных нормативов градостроительного проектирования</w:t>
      </w:r>
    </w:p>
    <w:p w:rsidR="00C5454B" w:rsidRPr="0036429D" w:rsidRDefault="00C5454B" w:rsidP="0036429D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lang w:eastAsia="ar-SA"/>
        </w:rPr>
      </w:pPr>
      <w:r w:rsidRPr="0036429D">
        <w:rPr>
          <w:rFonts w:ascii="Times New Roman" w:hAnsi="Times New Roman"/>
          <w:b/>
          <w:color w:val="000000"/>
          <w:spacing w:val="-4"/>
          <w:lang w:eastAsia="ar-SA"/>
        </w:rPr>
        <w:t>«Планировка жилых, общественно-деловых, рекреационных зон населенных пунктов</w:t>
      </w:r>
    </w:p>
    <w:p w:rsidR="00C5454B" w:rsidRPr="0036429D" w:rsidRDefault="00C5454B" w:rsidP="0036429D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lang w:eastAsia="ar-SA"/>
        </w:rPr>
      </w:pPr>
      <w:r w:rsidRPr="0036429D">
        <w:rPr>
          <w:rFonts w:ascii="Times New Roman" w:hAnsi="Times New Roman"/>
          <w:b/>
          <w:color w:val="000000"/>
          <w:spacing w:val="-4"/>
          <w:lang w:eastAsia="ar-SA"/>
        </w:rPr>
        <w:t>Краснознаменского сельского поселения»</w:t>
      </w:r>
    </w:p>
    <w:p w:rsidR="00C5454B" w:rsidRPr="0036429D" w:rsidRDefault="00C5454B" w:rsidP="0036429D">
      <w:pPr>
        <w:spacing w:after="0"/>
        <w:rPr>
          <w:b/>
        </w:rPr>
      </w:pPr>
      <w:r>
        <w:t>20.05.2014  г.                                                                                             село Лискинское</w:t>
      </w:r>
    </w:p>
    <w:p w:rsidR="00C5454B" w:rsidRPr="0036429D" w:rsidRDefault="00C5454B" w:rsidP="0036429D">
      <w:pPr>
        <w:tabs>
          <w:tab w:val="center" w:pos="4999"/>
          <w:tab w:val="left" w:pos="6690"/>
        </w:tabs>
        <w:spacing w:after="0" w:line="240" w:lineRule="auto"/>
        <w:rPr>
          <w:rFonts w:ascii="Times New Roman" w:hAnsi="Times New Roman"/>
        </w:rPr>
      </w:pPr>
      <w:r w:rsidRPr="0036429D">
        <w:rPr>
          <w:rFonts w:ascii="Times New Roman" w:hAnsi="Times New Roman"/>
        </w:rPr>
        <w:t xml:space="preserve">    Мы, нижеподписавшиеся, комиссия в составе председателя комиссии Квашниной Л.А.., председателя Совета народных депутатов. Овчарова В.А, секретаря комиссии  Афанасьевой В.А., членов комиссии: Л.С. Никитенко, Е.В. Барышева, </w:t>
      </w:r>
      <w:r w:rsidRPr="0036429D">
        <w:rPr>
          <w:rFonts w:ascii="Times New Roman" w:hAnsi="Times New Roman"/>
          <w:color w:val="FF0000"/>
        </w:rPr>
        <w:t xml:space="preserve"> </w:t>
      </w:r>
      <w:r w:rsidRPr="0036429D">
        <w:rPr>
          <w:rFonts w:ascii="Times New Roman" w:hAnsi="Times New Roman"/>
        </w:rPr>
        <w:t>составили настоящий акт  в том, что   постановление № 24 от 28.05.2014 года «</w:t>
      </w:r>
      <w:r w:rsidRPr="0036429D">
        <w:rPr>
          <w:rFonts w:ascii="Times New Roman" w:hAnsi="Times New Roman"/>
          <w:color w:val="000000"/>
          <w:spacing w:val="-4"/>
          <w:lang w:eastAsia="ar-SA"/>
        </w:rPr>
        <w:t>об утверждении  местных нормативов градостроительного проектирования</w:t>
      </w:r>
      <w:r w:rsidRPr="0036429D">
        <w:rPr>
          <w:rFonts w:ascii="Times New Roman" w:hAnsi="Times New Roman"/>
        </w:rPr>
        <w:t xml:space="preserve"> </w:t>
      </w:r>
      <w:r w:rsidRPr="0036429D">
        <w:rPr>
          <w:rFonts w:ascii="Times New Roman" w:hAnsi="Times New Roman"/>
          <w:color w:val="000000"/>
          <w:spacing w:val="-4"/>
          <w:lang w:eastAsia="ar-SA"/>
        </w:rPr>
        <w:t>«Планировка жилых, общественно-деловых, рекреационных зон населенных пунктов</w:t>
      </w:r>
    </w:p>
    <w:p w:rsidR="00C5454B" w:rsidRPr="0036429D" w:rsidRDefault="00C5454B" w:rsidP="0036429D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/>
          <w:color w:val="000000"/>
          <w:spacing w:val="-4"/>
          <w:lang w:eastAsia="ar-SA"/>
        </w:rPr>
      </w:pPr>
      <w:r w:rsidRPr="0036429D">
        <w:rPr>
          <w:rFonts w:ascii="Times New Roman" w:hAnsi="Times New Roman"/>
          <w:color w:val="000000"/>
          <w:spacing w:val="-4"/>
          <w:lang w:eastAsia="ar-SA"/>
        </w:rPr>
        <w:t xml:space="preserve">Краснознаменского сельского поселения»  </w:t>
      </w:r>
      <w:r w:rsidRPr="0036429D"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C5454B" w:rsidRPr="0036429D" w:rsidRDefault="00C5454B" w:rsidP="0036429D">
      <w:pPr>
        <w:spacing w:line="240" w:lineRule="auto"/>
        <w:rPr>
          <w:rFonts w:ascii="Times New Roman" w:hAnsi="Times New Roman"/>
        </w:rPr>
      </w:pPr>
    </w:p>
    <w:p w:rsidR="00C5454B" w:rsidRPr="0036429D" w:rsidRDefault="00C5454B" w:rsidP="0036429D">
      <w:pPr>
        <w:spacing w:line="240" w:lineRule="auto"/>
        <w:rPr>
          <w:rFonts w:ascii="Times New Roman" w:hAnsi="Times New Roman"/>
        </w:rPr>
      </w:pPr>
    </w:p>
    <w:p w:rsidR="00C5454B" w:rsidRPr="0036429D" w:rsidRDefault="00C5454B" w:rsidP="0036429D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</w:rPr>
      </w:pPr>
    </w:p>
    <w:p w:rsidR="00C5454B" w:rsidRPr="0036429D" w:rsidRDefault="00C5454B" w:rsidP="0036429D">
      <w:pPr>
        <w:tabs>
          <w:tab w:val="left" w:pos="7050"/>
        </w:tabs>
        <w:spacing w:line="240" w:lineRule="auto"/>
        <w:jc w:val="both"/>
        <w:rPr>
          <w:rFonts w:ascii="Times New Roman" w:hAnsi="Times New Roman"/>
        </w:rPr>
      </w:pPr>
      <w:r w:rsidRPr="0036429D">
        <w:rPr>
          <w:rFonts w:ascii="Times New Roman" w:hAnsi="Times New Roman"/>
        </w:rPr>
        <w:tab/>
      </w: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  <w:r w:rsidRPr="0036429D">
        <w:rPr>
          <w:rFonts w:ascii="Times New Roman" w:hAnsi="Times New Roman"/>
        </w:rPr>
        <w:tab/>
        <w:t>В чем и составлен настоящий акт.</w:t>
      </w: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</w:p>
    <w:p w:rsidR="00C5454B" w:rsidRPr="0036429D" w:rsidRDefault="00C5454B" w:rsidP="0036429D">
      <w:pPr>
        <w:spacing w:after="0" w:line="240" w:lineRule="auto"/>
        <w:ind w:left="708" w:hanging="651"/>
        <w:rPr>
          <w:rFonts w:ascii="Times New Roman" w:hAnsi="Times New Roman"/>
        </w:rPr>
      </w:pPr>
      <w:r w:rsidRPr="0036429D">
        <w:rPr>
          <w:rFonts w:ascii="Times New Roman" w:hAnsi="Times New Roman"/>
        </w:rPr>
        <w:t>Председатель комиссии:                                                             Л.А. Квашнина</w:t>
      </w:r>
    </w:p>
    <w:p w:rsidR="00C5454B" w:rsidRPr="0036429D" w:rsidRDefault="00C5454B" w:rsidP="0036429D">
      <w:pPr>
        <w:spacing w:after="0" w:line="240" w:lineRule="auto"/>
        <w:ind w:left="708" w:hanging="651"/>
        <w:rPr>
          <w:rFonts w:ascii="Times New Roman" w:hAnsi="Times New Roman"/>
        </w:rPr>
      </w:pPr>
    </w:p>
    <w:p w:rsidR="00C5454B" w:rsidRPr="0036429D" w:rsidRDefault="00C5454B" w:rsidP="0036429D">
      <w:pPr>
        <w:spacing w:after="0" w:line="240" w:lineRule="auto"/>
        <w:ind w:left="708" w:hanging="651"/>
        <w:rPr>
          <w:rFonts w:ascii="Times New Roman" w:hAnsi="Times New Roman"/>
        </w:rPr>
      </w:pPr>
      <w:r w:rsidRPr="0036429D">
        <w:rPr>
          <w:rFonts w:ascii="Times New Roman" w:hAnsi="Times New Roman"/>
        </w:rPr>
        <w:t>Председатель Совета народных депутато</w:t>
      </w:r>
      <w:r>
        <w:rPr>
          <w:rFonts w:ascii="Times New Roman" w:hAnsi="Times New Roman"/>
        </w:rPr>
        <w:t xml:space="preserve">в:                            </w:t>
      </w:r>
      <w:r w:rsidRPr="0036429D">
        <w:rPr>
          <w:rFonts w:ascii="Times New Roman" w:hAnsi="Times New Roman"/>
        </w:rPr>
        <w:t xml:space="preserve">  В.А. Овчаров</w:t>
      </w: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  <w:r w:rsidRPr="0036429D">
        <w:rPr>
          <w:rFonts w:ascii="Times New Roman" w:hAnsi="Times New Roman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  <w:r w:rsidRPr="0036429D">
        <w:rPr>
          <w:rFonts w:ascii="Times New Roman" w:hAnsi="Times New Roman"/>
        </w:rPr>
        <w:t xml:space="preserve"> </w:t>
      </w:r>
    </w:p>
    <w:p w:rsidR="00C5454B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  <w:r w:rsidRPr="0036429D">
        <w:rPr>
          <w:rFonts w:ascii="Times New Roman" w:hAnsi="Times New Roman"/>
        </w:rPr>
        <w:t>Члены комиссии:                                                                    Л.С. Никитенко</w:t>
      </w:r>
    </w:p>
    <w:p w:rsidR="00C5454B" w:rsidRPr="0036429D" w:rsidRDefault="00C5454B" w:rsidP="0036429D">
      <w:pPr>
        <w:spacing w:after="0" w:line="240" w:lineRule="auto"/>
        <w:jc w:val="both"/>
        <w:rPr>
          <w:rFonts w:ascii="Times New Roman" w:hAnsi="Times New Roman"/>
        </w:rPr>
      </w:pPr>
    </w:p>
    <w:p w:rsidR="00C5454B" w:rsidRPr="0036429D" w:rsidRDefault="00C5454B" w:rsidP="0036429D">
      <w:pPr>
        <w:spacing w:after="0" w:line="240" w:lineRule="auto"/>
        <w:rPr>
          <w:rFonts w:ascii="Times New Roman" w:hAnsi="Times New Roman"/>
        </w:rPr>
      </w:pPr>
      <w:r w:rsidRPr="0036429D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36429D">
        <w:rPr>
          <w:rFonts w:ascii="Times New Roman" w:hAnsi="Times New Roman"/>
        </w:rPr>
        <w:t xml:space="preserve"> Е.В. Барышев</w:t>
      </w:r>
    </w:p>
    <w:p w:rsidR="00C5454B" w:rsidRPr="0036429D" w:rsidRDefault="00C5454B" w:rsidP="0036429D">
      <w:pPr>
        <w:spacing w:after="0" w:line="240" w:lineRule="auto"/>
        <w:rPr>
          <w:rFonts w:ascii="Times New Roman" w:hAnsi="Times New Roman"/>
        </w:rPr>
      </w:pPr>
    </w:p>
    <w:p w:rsidR="00C5454B" w:rsidRDefault="00C5454B" w:rsidP="0036429D">
      <w:pPr>
        <w:spacing w:after="0"/>
      </w:pPr>
    </w:p>
    <w:p w:rsidR="00C5454B" w:rsidRPr="0095579C" w:rsidRDefault="00C5454B" w:rsidP="00B51E1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C5454B" w:rsidRPr="0095579C" w:rsidSect="00A7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4B" w:rsidRDefault="00C5454B" w:rsidP="00B51E18">
      <w:pPr>
        <w:spacing w:after="0" w:line="240" w:lineRule="auto"/>
      </w:pPr>
      <w:r>
        <w:separator/>
      </w:r>
    </w:p>
  </w:endnote>
  <w:endnote w:type="continuationSeparator" w:id="1">
    <w:p w:rsidR="00C5454B" w:rsidRDefault="00C5454B" w:rsidP="00B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4B" w:rsidRDefault="00C5454B" w:rsidP="00B51E18">
      <w:pPr>
        <w:spacing w:after="0" w:line="240" w:lineRule="auto"/>
      </w:pPr>
      <w:r>
        <w:separator/>
      </w:r>
    </w:p>
  </w:footnote>
  <w:footnote w:type="continuationSeparator" w:id="1">
    <w:p w:rsidR="00C5454B" w:rsidRDefault="00C5454B" w:rsidP="00B5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0A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11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"/>
  </w:num>
  <w:num w:numId="5">
    <w:abstractNumId w:val="11"/>
  </w:num>
  <w:num w:numId="6">
    <w:abstractNumId w:val="27"/>
  </w:num>
  <w:num w:numId="7">
    <w:abstractNumId w:val="28"/>
  </w:num>
  <w:num w:numId="8">
    <w:abstractNumId w:val="12"/>
  </w:num>
  <w:num w:numId="9">
    <w:abstractNumId w:val="13"/>
  </w:num>
  <w:num w:numId="10">
    <w:abstractNumId w:val="30"/>
  </w:num>
  <w:num w:numId="11">
    <w:abstractNumId w:val="14"/>
  </w:num>
  <w:num w:numId="12">
    <w:abstractNumId w:val="9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21"/>
  </w:num>
  <w:num w:numId="18">
    <w:abstractNumId w:val="29"/>
  </w:num>
  <w:num w:numId="19">
    <w:abstractNumId w:val="25"/>
  </w:num>
  <w:num w:numId="20">
    <w:abstractNumId w:val="5"/>
  </w:num>
  <w:num w:numId="21">
    <w:abstractNumId w:val="23"/>
  </w:num>
  <w:num w:numId="22">
    <w:abstractNumId w:val="6"/>
  </w:num>
  <w:num w:numId="23">
    <w:abstractNumId w:val="3"/>
  </w:num>
  <w:num w:numId="24">
    <w:abstractNumId w:val="4"/>
  </w:num>
  <w:num w:numId="25">
    <w:abstractNumId w:val="1"/>
  </w:num>
  <w:num w:numId="26">
    <w:abstractNumId w:val="20"/>
  </w:num>
  <w:num w:numId="27">
    <w:abstractNumId w:val="8"/>
  </w:num>
  <w:num w:numId="28">
    <w:abstractNumId w:val="24"/>
  </w:num>
  <w:num w:numId="29">
    <w:abstractNumId w:val="18"/>
  </w:num>
  <w:num w:numId="30">
    <w:abstractNumId w:val="26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E18"/>
    <w:rsid w:val="001D737C"/>
    <w:rsid w:val="0021558F"/>
    <w:rsid w:val="002A232C"/>
    <w:rsid w:val="0036429D"/>
    <w:rsid w:val="00436ED2"/>
    <w:rsid w:val="00624BD2"/>
    <w:rsid w:val="00750978"/>
    <w:rsid w:val="007E4365"/>
    <w:rsid w:val="00915310"/>
    <w:rsid w:val="009347A3"/>
    <w:rsid w:val="0095579C"/>
    <w:rsid w:val="00A756AC"/>
    <w:rsid w:val="00B51E18"/>
    <w:rsid w:val="00BC6806"/>
    <w:rsid w:val="00C0318D"/>
    <w:rsid w:val="00C1179D"/>
    <w:rsid w:val="00C5454B"/>
    <w:rsid w:val="00C82BB2"/>
    <w:rsid w:val="00C8346C"/>
    <w:rsid w:val="00C87756"/>
    <w:rsid w:val="00CF7B9C"/>
    <w:rsid w:val="00D60F78"/>
    <w:rsid w:val="00E13138"/>
    <w:rsid w:val="00F6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56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51E1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1E1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1E1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1E18"/>
    <w:rPr>
      <w:rFonts w:ascii="Arial" w:hAnsi="Arial" w:cs="Arial"/>
      <w:b/>
      <w:bCs/>
      <w:i/>
      <w:iCs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B51E1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B51E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1E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1E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51E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51E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51E1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1E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E1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51E18"/>
    <w:rPr>
      <w:rFonts w:cs="Times New Roman"/>
    </w:rPr>
  </w:style>
  <w:style w:type="paragraph" w:customStyle="1" w:styleId="ConsNormal">
    <w:name w:val="ConsNormal"/>
    <w:uiPriority w:val="99"/>
    <w:rsid w:val="00B51E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B5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">
    <w:name w:val="S_Обычный"/>
    <w:basedOn w:val="Normal"/>
    <w:link w:val="S0"/>
    <w:uiPriority w:val="99"/>
    <w:rsid w:val="00B51E1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0">
    <w:name w:val="S_Обычный Знак"/>
    <w:basedOn w:val="DefaultParagraphFont"/>
    <w:link w:val="S"/>
    <w:uiPriority w:val="99"/>
    <w:locked/>
    <w:rsid w:val="00B51E18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51E18"/>
    <w:pPr>
      <w:spacing w:after="0" w:line="36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51E18"/>
    <w:rPr>
      <w:rFonts w:ascii="Times New Roman" w:hAnsi="Times New Roman" w:cs="Times New Roman"/>
      <w:sz w:val="20"/>
      <w:szCs w:val="20"/>
    </w:rPr>
  </w:style>
  <w:style w:type="paragraph" w:customStyle="1" w:styleId="ConsCell">
    <w:name w:val="ConsCell"/>
    <w:uiPriority w:val="99"/>
    <w:rsid w:val="00B51E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character" w:customStyle="1" w:styleId="spelle">
    <w:name w:val="spelle"/>
    <w:basedOn w:val="DefaultParagraphFont"/>
    <w:uiPriority w:val="99"/>
    <w:rsid w:val="00B51E18"/>
    <w:rPr>
      <w:rFonts w:cs="Times New Roman"/>
    </w:rPr>
  </w:style>
  <w:style w:type="paragraph" w:customStyle="1" w:styleId="ConsNonformat">
    <w:name w:val="ConsNonformat"/>
    <w:uiPriority w:val="99"/>
    <w:rsid w:val="00B51E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uiPriority w:val="99"/>
    <w:rsid w:val="00B51E18"/>
    <w:rPr>
      <w:rFonts w:cs="Times New Roman"/>
    </w:rPr>
  </w:style>
  <w:style w:type="character" w:styleId="Hyperlink">
    <w:name w:val="Hyperlink"/>
    <w:basedOn w:val="DefaultParagraphFont"/>
    <w:uiPriority w:val="99"/>
    <w:rsid w:val="00B51E18"/>
    <w:rPr>
      <w:rFonts w:cs="Times New Roman"/>
      <w:color w:val="00000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B51E1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1E18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uiPriority w:val="99"/>
    <w:rsid w:val="00B51E18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uiPriority w:val="99"/>
    <w:rsid w:val="00B5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5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51E18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FR2">
    <w:name w:val="FR2"/>
    <w:uiPriority w:val="99"/>
    <w:rsid w:val="00B51E18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Strong">
    <w:name w:val="Strong"/>
    <w:basedOn w:val="DefaultParagraphFont"/>
    <w:uiPriority w:val="99"/>
    <w:qFormat/>
    <w:rsid w:val="00B51E18"/>
    <w:rPr>
      <w:rFonts w:cs="Times New Roman"/>
      <w:b/>
      <w:bCs/>
    </w:rPr>
  </w:style>
  <w:style w:type="paragraph" w:customStyle="1" w:styleId="1">
    <w:name w:val="Обычный1"/>
    <w:uiPriority w:val="99"/>
    <w:rsid w:val="00B51E18"/>
    <w:pPr>
      <w:widowControl w:val="0"/>
      <w:spacing w:line="260" w:lineRule="auto"/>
      <w:ind w:firstLine="220"/>
      <w:jc w:val="both"/>
    </w:pPr>
    <w:rPr>
      <w:rFonts w:ascii="Arial" w:hAnsi="Arial"/>
      <w:b/>
      <w:sz w:val="18"/>
      <w:szCs w:val="20"/>
    </w:rPr>
  </w:style>
  <w:style w:type="paragraph" w:styleId="Header">
    <w:name w:val="header"/>
    <w:basedOn w:val="Normal"/>
    <w:link w:val="HeaderChar"/>
    <w:uiPriority w:val="99"/>
    <w:rsid w:val="00B51E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E18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B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51E18"/>
    <w:rPr>
      <w:rFonts w:ascii="Tahoma" w:hAnsi="Tahoma" w:cs="Tahoma"/>
      <w:sz w:val="16"/>
      <w:szCs w:val="16"/>
    </w:rPr>
  </w:style>
  <w:style w:type="character" w:customStyle="1" w:styleId="S1">
    <w:name w:val="S_Маркированный Знак1"/>
    <w:basedOn w:val="DefaultParagraphFont"/>
    <w:link w:val="S2"/>
    <w:uiPriority w:val="99"/>
    <w:locked/>
    <w:rsid w:val="00B51E18"/>
    <w:rPr>
      <w:rFonts w:cs="Times New Roman"/>
      <w:sz w:val="24"/>
      <w:szCs w:val="24"/>
    </w:rPr>
  </w:style>
  <w:style w:type="paragraph" w:customStyle="1" w:styleId="S2">
    <w:name w:val="S_Маркированный"/>
    <w:basedOn w:val="ListBullet"/>
    <w:link w:val="S1"/>
    <w:autoRedefine/>
    <w:uiPriority w:val="99"/>
    <w:rsid w:val="00B51E18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="Calibri" w:hAnsi="Calibri"/>
      <w:sz w:val="22"/>
    </w:rPr>
  </w:style>
  <w:style w:type="paragraph" w:styleId="ListBullet">
    <w:name w:val="List Bullet"/>
    <w:basedOn w:val="Normal"/>
    <w:uiPriority w:val="99"/>
    <w:rsid w:val="00B51E18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Таблица"/>
    <w:basedOn w:val="Normal"/>
    <w:link w:val="S4"/>
    <w:autoRedefine/>
    <w:uiPriority w:val="99"/>
    <w:rsid w:val="00B51E18"/>
    <w:pPr>
      <w:widowControl w:val="0"/>
      <w:tabs>
        <w:tab w:val="num" w:pos="1440"/>
      </w:tabs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DefaultParagraphFont"/>
    <w:link w:val="S3"/>
    <w:uiPriority w:val="99"/>
    <w:locked/>
    <w:rsid w:val="00B51E18"/>
    <w:rPr>
      <w:rFonts w:ascii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DefaultParagraphFont"/>
    <w:link w:val="S6"/>
    <w:uiPriority w:val="99"/>
    <w:locked/>
    <w:rsid w:val="00B51E18"/>
    <w:rPr>
      <w:rFonts w:cs="Times New Roman"/>
      <w:sz w:val="24"/>
      <w:szCs w:val="24"/>
      <w:lang w:eastAsia="en-US"/>
    </w:rPr>
  </w:style>
  <w:style w:type="paragraph" w:customStyle="1" w:styleId="S6">
    <w:name w:val="S_Обычный в таблице"/>
    <w:basedOn w:val="Normal"/>
    <w:link w:val="S5"/>
    <w:uiPriority w:val="99"/>
    <w:rsid w:val="00B51E18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">
    <w:name w:val="Примечание"/>
    <w:basedOn w:val="Normal"/>
    <w:uiPriority w:val="99"/>
    <w:rsid w:val="00B51E18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B51E18"/>
    <w:pPr>
      <w:spacing w:after="0" w:line="240" w:lineRule="auto"/>
      <w:jc w:val="center"/>
    </w:pPr>
    <w:rPr>
      <w:rFonts w:ascii="Times New Roman" w:hAnsi="Times New Roman"/>
      <w:b/>
      <w:sz w:val="24"/>
      <w:szCs w:val="24"/>
      <w:u w:val="single"/>
    </w:rPr>
  </w:style>
  <w:style w:type="paragraph" w:customStyle="1" w:styleId="a0">
    <w:name w:val="Стиль Подпись Таблицы"/>
    <w:basedOn w:val="BodyText"/>
    <w:uiPriority w:val="99"/>
    <w:rsid w:val="00B51E18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51E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1E18"/>
    <w:rPr>
      <w:rFonts w:ascii="Times New Roman" w:hAnsi="Times New Roman" w:cs="Times New Roman"/>
      <w:sz w:val="24"/>
      <w:szCs w:val="24"/>
    </w:rPr>
  </w:style>
  <w:style w:type="paragraph" w:customStyle="1" w:styleId="a1">
    <w:name w:val="Знак"/>
    <w:basedOn w:val="Normal"/>
    <w:uiPriority w:val="99"/>
    <w:rsid w:val="00B51E18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51E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1E1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51E18"/>
    <w:rPr>
      <w:rFonts w:cs="Times New Roman"/>
      <w:vertAlign w:val="superscript"/>
    </w:rPr>
  </w:style>
  <w:style w:type="paragraph" w:customStyle="1" w:styleId="31">
    <w:name w:val="Основной текст с отступом 31"/>
    <w:basedOn w:val="Normal"/>
    <w:uiPriority w:val="99"/>
    <w:rsid w:val="00B51E18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16"/>
      <w:szCs w:val="16"/>
      <w:lang w:val="en-US" w:eastAsia="en-US"/>
    </w:rPr>
  </w:style>
  <w:style w:type="paragraph" w:customStyle="1" w:styleId="10">
    <w:name w:val="Знак1"/>
    <w:basedOn w:val="Normal"/>
    <w:uiPriority w:val="99"/>
    <w:rsid w:val="00B51E18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51E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51E18"/>
    <w:rPr>
      <w:rFonts w:ascii="Times New Roman" w:hAnsi="Times New Roman" w:cs="Times New Roman"/>
      <w:sz w:val="16"/>
      <w:szCs w:val="16"/>
    </w:rPr>
  </w:style>
  <w:style w:type="paragraph" w:customStyle="1" w:styleId="Heading">
    <w:name w:val="Heading"/>
    <w:uiPriority w:val="99"/>
    <w:rsid w:val="00B51E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xt">
    <w:name w:val="txt"/>
    <w:basedOn w:val="Normal"/>
    <w:uiPriority w:val="99"/>
    <w:rsid w:val="00B51E18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1">
    <w:name w:val="toc 1"/>
    <w:basedOn w:val="Normal"/>
    <w:next w:val="Normal"/>
    <w:autoRedefine/>
    <w:uiPriority w:val="99"/>
    <w:rsid w:val="00B51E18"/>
    <w:pPr>
      <w:tabs>
        <w:tab w:val="right" w:leader="dot" w:pos="9345"/>
      </w:tabs>
      <w:spacing w:after="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51E18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B51E18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51E1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1E18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51E1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uiPriority w:val="99"/>
    <w:rsid w:val="00B51E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rsid w:val="00B51E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rsid w:val="00B51E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rsid w:val="00B51E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rsid w:val="00B51E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rsid w:val="00B51E18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38</Pages>
  <Words>16255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ATHLON</cp:lastModifiedBy>
  <cp:revision>4</cp:revision>
  <cp:lastPrinted>2014-06-03T10:15:00Z</cp:lastPrinted>
  <dcterms:created xsi:type="dcterms:W3CDTF">2014-06-02T05:54:00Z</dcterms:created>
  <dcterms:modified xsi:type="dcterms:W3CDTF">2014-06-29T16:39:00Z</dcterms:modified>
</cp:coreProperties>
</file>